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58E" w:rsidRPr="007E40FA" w:rsidRDefault="00DD758E" w:rsidP="00E330A4">
      <w:pPr>
        <w:spacing w:after="0" w:line="240" w:lineRule="auto"/>
        <w:jc w:val="both"/>
        <w:rPr>
          <w:rFonts w:ascii="Times New Roman" w:hAnsi="Times New Roman"/>
          <w:sz w:val="24"/>
          <w:szCs w:val="24"/>
        </w:rPr>
      </w:pPr>
      <w:r w:rsidRPr="007E40FA">
        <w:rPr>
          <w:rFonts w:ascii="Times New Roman" w:hAnsi="Times New Roman"/>
          <w:b/>
          <w:sz w:val="24"/>
          <w:szCs w:val="24"/>
        </w:rPr>
        <w:t xml:space="preserve">Adaptation of </w:t>
      </w:r>
      <w:r w:rsidR="001C3034" w:rsidRPr="007E40FA">
        <w:rPr>
          <w:rFonts w:ascii="Times New Roman" w:hAnsi="Times New Roman"/>
          <w:b/>
          <w:sz w:val="24"/>
          <w:szCs w:val="24"/>
        </w:rPr>
        <w:t xml:space="preserve">semi-automated </w:t>
      </w:r>
      <w:r w:rsidR="00E64FE0" w:rsidRPr="007E40FA">
        <w:rPr>
          <w:rFonts w:ascii="Times New Roman" w:hAnsi="Times New Roman"/>
          <w:b/>
          <w:sz w:val="24"/>
          <w:szCs w:val="24"/>
        </w:rPr>
        <w:t xml:space="preserve">circulating tumor cell (CTC) </w:t>
      </w:r>
      <w:r w:rsidR="001144B4" w:rsidRPr="007E40FA">
        <w:rPr>
          <w:rFonts w:ascii="Times New Roman" w:hAnsi="Times New Roman"/>
          <w:b/>
          <w:sz w:val="24"/>
          <w:szCs w:val="24"/>
        </w:rPr>
        <w:t>assay</w:t>
      </w:r>
      <w:r w:rsidR="001C3034" w:rsidRPr="007E40FA">
        <w:rPr>
          <w:rFonts w:ascii="Times New Roman" w:hAnsi="Times New Roman"/>
          <w:b/>
          <w:sz w:val="24"/>
          <w:szCs w:val="24"/>
        </w:rPr>
        <w:t>s</w:t>
      </w:r>
      <w:r w:rsidR="001144B4" w:rsidRPr="007E40FA">
        <w:rPr>
          <w:rFonts w:ascii="Times New Roman" w:hAnsi="Times New Roman"/>
          <w:b/>
          <w:sz w:val="24"/>
          <w:szCs w:val="24"/>
        </w:rPr>
        <w:t xml:space="preserve"> </w:t>
      </w:r>
      <w:r w:rsidRPr="007E40FA">
        <w:rPr>
          <w:rFonts w:ascii="Times New Roman" w:hAnsi="Times New Roman"/>
          <w:b/>
          <w:sz w:val="24"/>
          <w:szCs w:val="24"/>
        </w:rPr>
        <w:t xml:space="preserve">for </w:t>
      </w:r>
      <w:r w:rsidR="001144B4" w:rsidRPr="007E40FA">
        <w:rPr>
          <w:rFonts w:ascii="Times New Roman" w:hAnsi="Times New Roman"/>
          <w:b/>
          <w:sz w:val="24"/>
          <w:szCs w:val="24"/>
        </w:rPr>
        <w:t xml:space="preserve">clinical and </w:t>
      </w:r>
      <w:r w:rsidR="00FB75F9" w:rsidRPr="007E40FA">
        <w:rPr>
          <w:rFonts w:ascii="Times New Roman" w:hAnsi="Times New Roman"/>
          <w:b/>
          <w:sz w:val="24"/>
          <w:szCs w:val="24"/>
        </w:rPr>
        <w:t>pre-clinical</w:t>
      </w:r>
      <w:r w:rsidR="001144B4" w:rsidRPr="007E40FA">
        <w:rPr>
          <w:rFonts w:ascii="Times New Roman" w:hAnsi="Times New Roman"/>
          <w:b/>
          <w:sz w:val="24"/>
          <w:szCs w:val="24"/>
        </w:rPr>
        <w:t xml:space="preserve"> research applications </w:t>
      </w:r>
    </w:p>
    <w:p w:rsidR="001144B4" w:rsidRPr="007E40FA" w:rsidRDefault="001144B4" w:rsidP="00E330A4">
      <w:pPr>
        <w:spacing w:after="0" w:line="240" w:lineRule="auto"/>
        <w:jc w:val="both"/>
        <w:rPr>
          <w:rFonts w:ascii="Times New Roman" w:hAnsi="Times New Roman"/>
          <w:sz w:val="24"/>
          <w:szCs w:val="24"/>
        </w:rPr>
      </w:pPr>
    </w:p>
    <w:p w:rsidR="001073BB" w:rsidRPr="007E40FA" w:rsidRDefault="0090301D" w:rsidP="00E330A4">
      <w:pPr>
        <w:spacing w:after="0" w:line="240" w:lineRule="auto"/>
        <w:rPr>
          <w:rFonts w:ascii="Times New Roman" w:hAnsi="Times New Roman"/>
          <w:b/>
          <w:sz w:val="24"/>
          <w:szCs w:val="24"/>
        </w:rPr>
      </w:pPr>
      <w:r w:rsidRPr="007E40FA">
        <w:rPr>
          <w:rFonts w:ascii="Times New Roman" w:hAnsi="Times New Roman"/>
          <w:b/>
          <w:sz w:val="24"/>
          <w:szCs w:val="24"/>
        </w:rPr>
        <w:t>AUTHORS</w:t>
      </w:r>
      <w:r w:rsidR="001073BB" w:rsidRPr="007E40FA">
        <w:rPr>
          <w:rFonts w:ascii="Times New Roman" w:hAnsi="Times New Roman"/>
          <w:b/>
          <w:sz w:val="24"/>
          <w:szCs w:val="24"/>
        </w:rPr>
        <w:t>:</w:t>
      </w:r>
    </w:p>
    <w:p w:rsidR="001073BB" w:rsidRPr="007E40FA" w:rsidRDefault="001073BB" w:rsidP="00E330A4">
      <w:pPr>
        <w:spacing w:after="0" w:line="240" w:lineRule="auto"/>
        <w:rPr>
          <w:rFonts w:ascii="Times New Roman" w:hAnsi="Times New Roman"/>
          <w:sz w:val="24"/>
          <w:szCs w:val="24"/>
        </w:rPr>
      </w:pPr>
      <w:r w:rsidRPr="007E40FA">
        <w:rPr>
          <w:rFonts w:ascii="Times New Roman" w:hAnsi="Times New Roman"/>
          <w:sz w:val="24"/>
          <w:szCs w:val="24"/>
        </w:rPr>
        <w:t>Lowes, Lori E.</w:t>
      </w:r>
    </w:p>
    <w:p w:rsidR="001073BB" w:rsidRPr="007E40FA" w:rsidRDefault="00B91C3C" w:rsidP="00E330A4">
      <w:pPr>
        <w:spacing w:after="0" w:line="240" w:lineRule="auto"/>
        <w:rPr>
          <w:rFonts w:ascii="Times New Roman" w:hAnsi="Times New Roman"/>
          <w:sz w:val="24"/>
          <w:szCs w:val="24"/>
        </w:rPr>
      </w:pPr>
      <w:r w:rsidRPr="007E40FA">
        <w:rPr>
          <w:rFonts w:ascii="Times New Roman" w:hAnsi="Times New Roman"/>
          <w:sz w:val="24"/>
          <w:szCs w:val="24"/>
          <w:vertAlign w:val="superscript"/>
        </w:rPr>
        <w:t>1</w:t>
      </w:r>
      <w:r w:rsidRPr="007E40FA">
        <w:rPr>
          <w:rFonts w:ascii="Times New Roman" w:hAnsi="Times New Roman"/>
          <w:sz w:val="24"/>
          <w:szCs w:val="24"/>
        </w:rPr>
        <w:t>London Regional Cancer Program</w:t>
      </w:r>
      <w:r w:rsidR="001073BB" w:rsidRPr="007E40FA">
        <w:rPr>
          <w:rFonts w:ascii="Times New Roman" w:hAnsi="Times New Roman"/>
          <w:sz w:val="24"/>
          <w:szCs w:val="24"/>
        </w:rPr>
        <w:t xml:space="preserve">; </w:t>
      </w:r>
      <w:r w:rsidR="00E63838" w:rsidRPr="007E40FA">
        <w:rPr>
          <w:rFonts w:ascii="Times New Roman" w:hAnsi="Times New Roman"/>
          <w:sz w:val="24"/>
          <w:szCs w:val="24"/>
          <w:vertAlign w:val="superscript"/>
        </w:rPr>
        <w:t>2</w:t>
      </w:r>
      <w:r w:rsidR="001073BB" w:rsidRPr="007E40FA">
        <w:rPr>
          <w:rFonts w:ascii="Times New Roman" w:hAnsi="Times New Roman"/>
          <w:sz w:val="24"/>
          <w:szCs w:val="24"/>
        </w:rPr>
        <w:t>Department of Anatomy &amp; Cell Biology</w:t>
      </w:r>
      <w:r w:rsidR="00E63838" w:rsidRPr="007E40FA">
        <w:rPr>
          <w:rFonts w:ascii="Times New Roman" w:hAnsi="Times New Roman"/>
          <w:sz w:val="24"/>
          <w:szCs w:val="24"/>
        </w:rPr>
        <w:t xml:space="preserve">, </w:t>
      </w:r>
      <w:proofErr w:type="spellStart"/>
      <w:r w:rsidR="00E63838" w:rsidRPr="007E40FA">
        <w:rPr>
          <w:rFonts w:ascii="Times New Roman" w:hAnsi="Times New Roman"/>
          <w:sz w:val="24"/>
          <w:szCs w:val="24"/>
        </w:rPr>
        <w:t>Schulich</w:t>
      </w:r>
      <w:proofErr w:type="spellEnd"/>
      <w:r w:rsidR="00E63838" w:rsidRPr="007E40FA">
        <w:rPr>
          <w:rFonts w:ascii="Times New Roman" w:hAnsi="Times New Roman"/>
          <w:sz w:val="24"/>
          <w:szCs w:val="24"/>
        </w:rPr>
        <w:t xml:space="preserve"> School of Medicine and Dentistry</w:t>
      </w:r>
      <w:r w:rsidR="001073BB" w:rsidRPr="007E40FA">
        <w:rPr>
          <w:rFonts w:ascii="Times New Roman" w:hAnsi="Times New Roman"/>
          <w:sz w:val="24"/>
          <w:szCs w:val="24"/>
        </w:rPr>
        <w:t xml:space="preserve">  </w:t>
      </w:r>
    </w:p>
    <w:p w:rsidR="001073BB" w:rsidRPr="007E40FA" w:rsidRDefault="001073BB" w:rsidP="00E330A4">
      <w:pPr>
        <w:spacing w:after="0" w:line="240" w:lineRule="auto"/>
        <w:rPr>
          <w:rFonts w:ascii="Times New Roman" w:hAnsi="Times New Roman"/>
          <w:sz w:val="24"/>
          <w:szCs w:val="24"/>
        </w:rPr>
      </w:pPr>
      <w:r w:rsidRPr="007E40FA">
        <w:rPr>
          <w:rFonts w:ascii="Times New Roman" w:hAnsi="Times New Roman"/>
          <w:sz w:val="24"/>
          <w:szCs w:val="24"/>
          <w:vertAlign w:val="superscript"/>
        </w:rPr>
        <w:t>1</w:t>
      </w:r>
      <w:r w:rsidRPr="007E40FA">
        <w:rPr>
          <w:rFonts w:ascii="Times New Roman" w:hAnsi="Times New Roman"/>
          <w:sz w:val="24"/>
          <w:szCs w:val="24"/>
        </w:rPr>
        <w:t xml:space="preserve">London Health Sciences Centre; </w:t>
      </w:r>
      <w:r w:rsidR="00E63838" w:rsidRPr="007E40FA">
        <w:rPr>
          <w:rFonts w:ascii="Times New Roman" w:hAnsi="Times New Roman"/>
          <w:sz w:val="24"/>
          <w:szCs w:val="24"/>
          <w:vertAlign w:val="superscript"/>
        </w:rPr>
        <w:t>2</w:t>
      </w:r>
      <w:r w:rsidR="00E63838" w:rsidRPr="007E40FA">
        <w:rPr>
          <w:rFonts w:ascii="Times New Roman" w:hAnsi="Times New Roman"/>
          <w:sz w:val="24"/>
          <w:szCs w:val="24"/>
        </w:rPr>
        <w:t>Western University</w:t>
      </w:r>
    </w:p>
    <w:p w:rsidR="001073BB" w:rsidRPr="007E40FA" w:rsidRDefault="00180583" w:rsidP="00E330A4">
      <w:pPr>
        <w:spacing w:after="0" w:line="240" w:lineRule="auto"/>
        <w:rPr>
          <w:rFonts w:ascii="Times New Roman" w:hAnsi="Times New Roman"/>
          <w:sz w:val="24"/>
          <w:szCs w:val="24"/>
        </w:rPr>
      </w:pPr>
      <w:r w:rsidRPr="007E40FA">
        <w:rPr>
          <w:rFonts w:ascii="Times New Roman" w:hAnsi="Times New Roman"/>
          <w:sz w:val="24"/>
          <w:szCs w:val="24"/>
          <w:vertAlign w:val="superscript"/>
        </w:rPr>
        <w:t>1,2</w:t>
      </w:r>
      <w:r w:rsidR="001073BB" w:rsidRPr="007E40FA">
        <w:rPr>
          <w:rFonts w:ascii="Times New Roman" w:hAnsi="Times New Roman"/>
          <w:sz w:val="24"/>
          <w:szCs w:val="24"/>
        </w:rPr>
        <w:t>London, Canada</w:t>
      </w:r>
    </w:p>
    <w:p w:rsidR="00E63838" w:rsidRPr="007E40FA" w:rsidRDefault="00BF4927" w:rsidP="00E330A4">
      <w:pPr>
        <w:spacing w:after="0" w:line="240" w:lineRule="auto"/>
        <w:rPr>
          <w:rFonts w:ascii="Times New Roman" w:hAnsi="Times New Roman"/>
          <w:sz w:val="24"/>
          <w:szCs w:val="24"/>
        </w:rPr>
      </w:pPr>
      <w:hyperlink r:id="rId9" w:history="1">
        <w:r w:rsidR="00E63838" w:rsidRPr="007E40FA">
          <w:rPr>
            <w:rStyle w:val="Hyperlink"/>
            <w:rFonts w:ascii="Times New Roman" w:hAnsi="Times New Roman"/>
            <w:color w:val="auto"/>
            <w:sz w:val="24"/>
            <w:szCs w:val="24"/>
          </w:rPr>
          <w:t>llowes@uwo.ca</w:t>
        </w:r>
      </w:hyperlink>
    </w:p>
    <w:p w:rsidR="00E63838" w:rsidRPr="007E40FA" w:rsidRDefault="00E63838" w:rsidP="00E330A4">
      <w:pPr>
        <w:spacing w:after="0" w:line="240" w:lineRule="auto"/>
        <w:rPr>
          <w:rFonts w:ascii="Times New Roman" w:hAnsi="Times New Roman"/>
          <w:sz w:val="24"/>
          <w:szCs w:val="24"/>
        </w:rPr>
      </w:pPr>
    </w:p>
    <w:p w:rsidR="00E63838" w:rsidRPr="007E40FA" w:rsidRDefault="00E63838" w:rsidP="00E330A4">
      <w:pPr>
        <w:spacing w:after="0" w:line="240" w:lineRule="auto"/>
        <w:rPr>
          <w:rFonts w:ascii="Times New Roman" w:hAnsi="Times New Roman"/>
          <w:sz w:val="24"/>
          <w:szCs w:val="24"/>
        </w:rPr>
      </w:pPr>
      <w:r w:rsidRPr="007E40FA">
        <w:rPr>
          <w:rFonts w:ascii="Times New Roman" w:hAnsi="Times New Roman"/>
          <w:sz w:val="24"/>
          <w:szCs w:val="24"/>
        </w:rPr>
        <w:t>Hedley, Benjamin D.</w:t>
      </w:r>
    </w:p>
    <w:p w:rsidR="00E63838" w:rsidRPr="007E40FA" w:rsidRDefault="00F55541"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3</w:t>
      </w:r>
      <w:r w:rsidR="00E63838" w:rsidRPr="007E40FA">
        <w:rPr>
          <w:rFonts w:ascii="Times New Roman" w:hAnsi="Times New Roman"/>
          <w:sz w:val="24"/>
          <w:szCs w:val="24"/>
        </w:rPr>
        <w:t xml:space="preserve">Special Hematology/Flow </w:t>
      </w:r>
      <w:proofErr w:type="spellStart"/>
      <w:r w:rsidR="00E63838" w:rsidRPr="007E40FA">
        <w:rPr>
          <w:rFonts w:ascii="Times New Roman" w:hAnsi="Times New Roman"/>
          <w:sz w:val="24"/>
          <w:szCs w:val="24"/>
        </w:rPr>
        <w:t>Cytometry</w:t>
      </w:r>
      <w:proofErr w:type="spellEnd"/>
    </w:p>
    <w:p w:rsidR="00E63838" w:rsidRPr="007E40FA" w:rsidRDefault="00F55541"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3</w:t>
      </w:r>
      <w:r w:rsidR="00E63838" w:rsidRPr="007E40FA">
        <w:rPr>
          <w:rFonts w:ascii="Times New Roman" w:hAnsi="Times New Roman"/>
          <w:sz w:val="24"/>
          <w:szCs w:val="24"/>
        </w:rPr>
        <w:t>London Health Sciences Centre</w:t>
      </w:r>
    </w:p>
    <w:p w:rsidR="00E63838" w:rsidRPr="007E40FA" w:rsidRDefault="00F55541"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3</w:t>
      </w:r>
      <w:r w:rsidR="00E63838" w:rsidRPr="007E40FA">
        <w:rPr>
          <w:rFonts w:ascii="Times New Roman" w:hAnsi="Times New Roman"/>
          <w:sz w:val="24"/>
          <w:szCs w:val="24"/>
        </w:rPr>
        <w:t>London, Canada</w:t>
      </w:r>
    </w:p>
    <w:p w:rsidR="00E63838" w:rsidRPr="007E40FA" w:rsidRDefault="00BF4927" w:rsidP="00E330A4">
      <w:pPr>
        <w:spacing w:after="0" w:line="240" w:lineRule="auto"/>
        <w:ind w:left="85" w:hanging="85"/>
        <w:rPr>
          <w:rFonts w:ascii="Times New Roman" w:hAnsi="Times New Roman"/>
          <w:sz w:val="24"/>
          <w:szCs w:val="24"/>
        </w:rPr>
      </w:pPr>
      <w:hyperlink r:id="rId10" w:history="1">
        <w:r w:rsidR="00E63838" w:rsidRPr="007E40FA">
          <w:rPr>
            <w:rStyle w:val="Hyperlink"/>
            <w:rFonts w:ascii="Times New Roman" w:hAnsi="Times New Roman"/>
            <w:color w:val="auto"/>
            <w:sz w:val="24"/>
            <w:szCs w:val="24"/>
          </w:rPr>
          <w:t>Ben.Hedley@lhsc.on.ca</w:t>
        </w:r>
      </w:hyperlink>
    </w:p>
    <w:p w:rsidR="00E63838" w:rsidRPr="007E40FA" w:rsidRDefault="00E63838" w:rsidP="00E330A4">
      <w:pPr>
        <w:spacing w:after="0" w:line="240" w:lineRule="auto"/>
        <w:ind w:left="85" w:hanging="85"/>
        <w:rPr>
          <w:rFonts w:ascii="Times New Roman" w:hAnsi="Times New Roman"/>
          <w:sz w:val="24"/>
          <w:szCs w:val="24"/>
        </w:rPr>
      </w:pPr>
    </w:p>
    <w:p w:rsidR="00E63838" w:rsidRPr="007E40FA" w:rsidRDefault="00E63838" w:rsidP="00E330A4">
      <w:pPr>
        <w:spacing w:after="0" w:line="240" w:lineRule="auto"/>
        <w:ind w:left="85" w:hanging="85"/>
        <w:rPr>
          <w:rFonts w:ascii="Times New Roman" w:hAnsi="Times New Roman"/>
          <w:sz w:val="24"/>
          <w:szCs w:val="24"/>
        </w:rPr>
      </w:pPr>
      <w:r w:rsidRPr="007E40FA">
        <w:rPr>
          <w:rFonts w:ascii="Times New Roman" w:hAnsi="Times New Roman"/>
          <w:sz w:val="24"/>
          <w:szCs w:val="24"/>
        </w:rPr>
        <w:t>Keeney, Mi</w:t>
      </w:r>
      <w:r w:rsidR="00815D07" w:rsidRPr="007E40FA">
        <w:rPr>
          <w:rFonts w:ascii="Times New Roman" w:hAnsi="Times New Roman"/>
          <w:sz w:val="24"/>
          <w:szCs w:val="24"/>
        </w:rPr>
        <w:t>chael</w:t>
      </w:r>
    </w:p>
    <w:p w:rsidR="00E63838" w:rsidRPr="007E40FA" w:rsidRDefault="00273723"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3</w:t>
      </w:r>
      <w:r w:rsidR="00E63838" w:rsidRPr="007E40FA">
        <w:rPr>
          <w:rFonts w:ascii="Times New Roman" w:hAnsi="Times New Roman"/>
          <w:sz w:val="24"/>
          <w:szCs w:val="24"/>
        </w:rPr>
        <w:t xml:space="preserve">Special Hematology/Flow </w:t>
      </w:r>
      <w:proofErr w:type="spellStart"/>
      <w:r w:rsidR="00E63838" w:rsidRPr="007E40FA">
        <w:rPr>
          <w:rFonts w:ascii="Times New Roman" w:hAnsi="Times New Roman"/>
          <w:sz w:val="24"/>
          <w:szCs w:val="24"/>
        </w:rPr>
        <w:t>Cytometry</w:t>
      </w:r>
      <w:proofErr w:type="spellEnd"/>
      <w:r w:rsidR="00E63838" w:rsidRPr="007E40FA">
        <w:rPr>
          <w:rFonts w:ascii="Times New Roman" w:hAnsi="Times New Roman"/>
          <w:sz w:val="24"/>
          <w:szCs w:val="24"/>
        </w:rPr>
        <w:t xml:space="preserve">; </w:t>
      </w:r>
    </w:p>
    <w:p w:rsidR="00E63838" w:rsidRPr="007E40FA" w:rsidRDefault="00273723"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3</w:t>
      </w:r>
      <w:r w:rsidR="00E63838" w:rsidRPr="007E40FA">
        <w:rPr>
          <w:rFonts w:ascii="Times New Roman" w:hAnsi="Times New Roman"/>
          <w:sz w:val="24"/>
          <w:szCs w:val="24"/>
        </w:rPr>
        <w:t xml:space="preserve">London Health Sciences Centre; </w:t>
      </w:r>
      <w:r w:rsidRPr="007E40FA">
        <w:rPr>
          <w:rFonts w:ascii="Times New Roman" w:hAnsi="Times New Roman"/>
          <w:sz w:val="24"/>
          <w:szCs w:val="24"/>
          <w:vertAlign w:val="superscript"/>
        </w:rPr>
        <w:t>4</w:t>
      </w:r>
      <w:r w:rsidR="00E63838" w:rsidRPr="007E40FA">
        <w:rPr>
          <w:rFonts w:ascii="Times New Roman" w:hAnsi="Times New Roman"/>
          <w:sz w:val="24"/>
          <w:szCs w:val="24"/>
        </w:rPr>
        <w:t>Lawson Health Research Institute</w:t>
      </w:r>
    </w:p>
    <w:p w:rsidR="00E63838" w:rsidRPr="007E40FA" w:rsidRDefault="00273723"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3</w:t>
      </w:r>
      <w:r w:rsidR="00180583" w:rsidRPr="007E40FA">
        <w:rPr>
          <w:rFonts w:ascii="Times New Roman" w:hAnsi="Times New Roman"/>
          <w:sz w:val="24"/>
          <w:szCs w:val="24"/>
          <w:vertAlign w:val="superscript"/>
        </w:rPr>
        <w:t>,</w:t>
      </w:r>
      <w:r w:rsidRPr="007E40FA">
        <w:rPr>
          <w:rFonts w:ascii="Times New Roman" w:hAnsi="Times New Roman"/>
          <w:sz w:val="24"/>
          <w:szCs w:val="24"/>
          <w:vertAlign w:val="superscript"/>
        </w:rPr>
        <w:t>4</w:t>
      </w:r>
      <w:r w:rsidR="00E63838" w:rsidRPr="007E40FA">
        <w:rPr>
          <w:rFonts w:ascii="Times New Roman" w:hAnsi="Times New Roman"/>
          <w:sz w:val="24"/>
          <w:szCs w:val="24"/>
        </w:rPr>
        <w:t>London, Canada</w:t>
      </w:r>
    </w:p>
    <w:p w:rsidR="00E63838" w:rsidRPr="007E40FA" w:rsidRDefault="00BF4927" w:rsidP="00E330A4">
      <w:pPr>
        <w:spacing w:after="0" w:line="240" w:lineRule="auto"/>
        <w:ind w:left="85" w:hanging="85"/>
        <w:rPr>
          <w:rFonts w:ascii="Times New Roman" w:hAnsi="Times New Roman"/>
          <w:sz w:val="24"/>
          <w:szCs w:val="24"/>
        </w:rPr>
      </w:pPr>
      <w:hyperlink r:id="rId11" w:history="1">
        <w:r w:rsidR="00E63838" w:rsidRPr="007E40FA">
          <w:rPr>
            <w:rStyle w:val="Hyperlink"/>
            <w:rFonts w:ascii="Times New Roman" w:hAnsi="Times New Roman"/>
            <w:color w:val="auto"/>
            <w:sz w:val="24"/>
            <w:szCs w:val="24"/>
          </w:rPr>
          <w:t>Mike.Keeney@lhsc.on.ca</w:t>
        </w:r>
      </w:hyperlink>
    </w:p>
    <w:p w:rsidR="001073BB" w:rsidRPr="007E40FA" w:rsidRDefault="001073BB" w:rsidP="00E330A4">
      <w:pPr>
        <w:spacing w:after="0" w:line="240" w:lineRule="auto"/>
        <w:ind w:left="85" w:hanging="85"/>
        <w:rPr>
          <w:rFonts w:ascii="Times New Roman" w:hAnsi="Times New Roman"/>
          <w:sz w:val="24"/>
          <w:szCs w:val="24"/>
          <w:vertAlign w:val="superscript"/>
        </w:rPr>
      </w:pPr>
    </w:p>
    <w:p w:rsidR="00B91C3C" w:rsidRPr="007E40FA" w:rsidRDefault="00201C52" w:rsidP="00E330A4">
      <w:pPr>
        <w:spacing w:after="0" w:line="240" w:lineRule="auto"/>
        <w:ind w:left="85" w:hanging="85"/>
        <w:rPr>
          <w:rFonts w:ascii="Times New Roman" w:hAnsi="Times New Roman"/>
          <w:sz w:val="24"/>
          <w:szCs w:val="24"/>
        </w:rPr>
      </w:pPr>
      <w:r w:rsidRPr="007E40FA">
        <w:rPr>
          <w:rFonts w:ascii="Times New Roman" w:hAnsi="Times New Roman"/>
          <w:b/>
          <w:sz w:val="24"/>
          <w:szCs w:val="24"/>
        </w:rPr>
        <w:t>*</w:t>
      </w:r>
      <w:r w:rsidR="00B35A92" w:rsidRPr="007E40FA">
        <w:rPr>
          <w:rFonts w:ascii="Times New Roman" w:hAnsi="Times New Roman"/>
          <w:sz w:val="24"/>
          <w:szCs w:val="24"/>
        </w:rPr>
        <w:t xml:space="preserve"> </w:t>
      </w:r>
      <w:r w:rsidR="00E63838" w:rsidRPr="007E40FA">
        <w:rPr>
          <w:rFonts w:ascii="Times New Roman" w:hAnsi="Times New Roman"/>
          <w:sz w:val="24"/>
          <w:szCs w:val="24"/>
        </w:rPr>
        <w:t>Allan, Alison L.</w:t>
      </w:r>
    </w:p>
    <w:p w:rsidR="00E63838" w:rsidRPr="007E40FA" w:rsidRDefault="00E63838" w:rsidP="00E330A4">
      <w:pPr>
        <w:spacing w:after="0" w:line="240" w:lineRule="auto"/>
        <w:rPr>
          <w:rFonts w:ascii="Times New Roman" w:hAnsi="Times New Roman"/>
          <w:sz w:val="24"/>
          <w:szCs w:val="24"/>
        </w:rPr>
      </w:pPr>
      <w:r w:rsidRPr="007E40FA">
        <w:rPr>
          <w:rFonts w:ascii="Times New Roman" w:hAnsi="Times New Roman"/>
          <w:sz w:val="24"/>
          <w:szCs w:val="24"/>
          <w:vertAlign w:val="superscript"/>
        </w:rPr>
        <w:t>1</w:t>
      </w:r>
      <w:r w:rsidRPr="007E40FA">
        <w:rPr>
          <w:rFonts w:ascii="Times New Roman" w:hAnsi="Times New Roman"/>
          <w:sz w:val="24"/>
          <w:szCs w:val="24"/>
        </w:rPr>
        <w:t xml:space="preserve">London Regional Cancer Program; Departments of </w:t>
      </w:r>
      <w:r w:rsidR="00273723" w:rsidRPr="007E40FA">
        <w:rPr>
          <w:rFonts w:ascii="Times New Roman" w:hAnsi="Times New Roman"/>
          <w:sz w:val="24"/>
          <w:szCs w:val="24"/>
          <w:vertAlign w:val="superscript"/>
        </w:rPr>
        <w:t>2</w:t>
      </w:r>
      <w:r w:rsidRPr="007E40FA">
        <w:rPr>
          <w:rFonts w:ascii="Times New Roman" w:hAnsi="Times New Roman"/>
          <w:sz w:val="24"/>
          <w:szCs w:val="24"/>
        </w:rPr>
        <w:t xml:space="preserve">Anatomy &amp; Cell Biology and </w:t>
      </w:r>
      <w:r w:rsidR="00273723" w:rsidRPr="007E40FA">
        <w:rPr>
          <w:rFonts w:ascii="Times New Roman" w:hAnsi="Times New Roman"/>
          <w:sz w:val="24"/>
          <w:szCs w:val="24"/>
          <w:vertAlign w:val="superscript"/>
        </w:rPr>
        <w:t>5</w:t>
      </w:r>
      <w:r w:rsidRPr="007E40FA">
        <w:rPr>
          <w:rFonts w:ascii="Times New Roman" w:hAnsi="Times New Roman"/>
          <w:sz w:val="24"/>
          <w:szCs w:val="24"/>
        </w:rPr>
        <w:t xml:space="preserve">Oncology, </w:t>
      </w:r>
      <w:proofErr w:type="spellStart"/>
      <w:r w:rsidRPr="007E40FA">
        <w:rPr>
          <w:rFonts w:ascii="Times New Roman" w:hAnsi="Times New Roman"/>
          <w:sz w:val="24"/>
          <w:szCs w:val="24"/>
        </w:rPr>
        <w:t>Schulich</w:t>
      </w:r>
      <w:proofErr w:type="spellEnd"/>
      <w:r w:rsidRPr="007E40FA">
        <w:rPr>
          <w:rFonts w:ascii="Times New Roman" w:hAnsi="Times New Roman"/>
          <w:sz w:val="24"/>
          <w:szCs w:val="24"/>
        </w:rPr>
        <w:t xml:space="preserve"> School of Medicine and Dentistry;   </w:t>
      </w:r>
    </w:p>
    <w:p w:rsidR="00E63838" w:rsidRPr="007E40FA" w:rsidRDefault="00E63838" w:rsidP="00E330A4">
      <w:pPr>
        <w:spacing w:after="0" w:line="240" w:lineRule="auto"/>
        <w:rPr>
          <w:rFonts w:ascii="Times New Roman" w:hAnsi="Times New Roman"/>
          <w:sz w:val="24"/>
          <w:szCs w:val="24"/>
        </w:rPr>
      </w:pPr>
      <w:r w:rsidRPr="007E40FA">
        <w:rPr>
          <w:rFonts w:ascii="Times New Roman" w:hAnsi="Times New Roman"/>
          <w:sz w:val="24"/>
          <w:szCs w:val="24"/>
          <w:vertAlign w:val="superscript"/>
        </w:rPr>
        <w:t>1</w:t>
      </w:r>
      <w:r w:rsidRPr="007E40FA">
        <w:rPr>
          <w:rFonts w:ascii="Times New Roman" w:hAnsi="Times New Roman"/>
          <w:sz w:val="24"/>
          <w:szCs w:val="24"/>
        </w:rPr>
        <w:t xml:space="preserve">London Health Sciences Centre; </w:t>
      </w:r>
      <w:r w:rsidRPr="007E40FA">
        <w:rPr>
          <w:rFonts w:ascii="Times New Roman" w:hAnsi="Times New Roman"/>
          <w:sz w:val="24"/>
          <w:szCs w:val="24"/>
          <w:vertAlign w:val="superscript"/>
        </w:rPr>
        <w:t>2,</w:t>
      </w:r>
      <w:r w:rsidR="00273723" w:rsidRPr="007E40FA">
        <w:rPr>
          <w:rFonts w:ascii="Times New Roman" w:hAnsi="Times New Roman"/>
          <w:sz w:val="24"/>
          <w:szCs w:val="24"/>
          <w:vertAlign w:val="superscript"/>
        </w:rPr>
        <w:t>5</w:t>
      </w:r>
      <w:r w:rsidRPr="007E40FA">
        <w:rPr>
          <w:rFonts w:ascii="Times New Roman" w:hAnsi="Times New Roman"/>
          <w:sz w:val="24"/>
          <w:szCs w:val="24"/>
        </w:rPr>
        <w:t xml:space="preserve">Western University; </w:t>
      </w:r>
      <w:r w:rsidRPr="007E40FA">
        <w:rPr>
          <w:rFonts w:ascii="Times New Roman" w:hAnsi="Times New Roman"/>
          <w:sz w:val="24"/>
          <w:szCs w:val="24"/>
          <w:vertAlign w:val="superscript"/>
        </w:rPr>
        <w:t>4</w:t>
      </w:r>
      <w:r w:rsidRPr="007E40FA">
        <w:rPr>
          <w:rFonts w:ascii="Times New Roman" w:hAnsi="Times New Roman"/>
          <w:sz w:val="24"/>
          <w:szCs w:val="24"/>
        </w:rPr>
        <w:t>Lawson Health Research Institute</w:t>
      </w:r>
    </w:p>
    <w:p w:rsidR="00E63838" w:rsidRPr="007E40FA" w:rsidRDefault="00180583" w:rsidP="00E330A4">
      <w:pPr>
        <w:spacing w:after="0" w:line="240" w:lineRule="auto"/>
        <w:ind w:left="85" w:hanging="85"/>
        <w:rPr>
          <w:rFonts w:ascii="Times New Roman" w:hAnsi="Times New Roman"/>
          <w:sz w:val="24"/>
          <w:szCs w:val="24"/>
        </w:rPr>
      </w:pPr>
      <w:r w:rsidRPr="007E40FA">
        <w:rPr>
          <w:rFonts w:ascii="Times New Roman" w:hAnsi="Times New Roman"/>
          <w:sz w:val="24"/>
          <w:szCs w:val="24"/>
          <w:vertAlign w:val="superscript"/>
        </w:rPr>
        <w:t>1</w:t>
      </w:r>
      <w:proofErr w:type="gramStart"/>
      <w:r w:rsidRPr="007E40FA">
        <w:rPr>
          <w:rFonts w:ascii="Times New Roman" w:hAnsi="Times New Roman"/>
          <w:sz w:val="24"/>
          <w:szCs w:val="24"/>
          <w:vertAlign w:val="superscript"/>
        </w:rPr>
        <w:t>,2,4</w:t>
      </w:r>
      <w:r w:rsidR="00273723" w:rsidRPr="007E40FA">
        <w:rPr>
          <w:rFonts w:ascii="Times New Roman" w:hAnsi="Times New Roman"/>
          <w:sz w:val="24"/>
          <w:szCs w:val="24"/>
          <w:vertAlign w:val="superscript"/>
        </w:rPr>
        <w:t>,5</w:t>
      </w:r>
      <w:r w:rsidR="00E63838" w:rsidRPr="007E40FA">
        <w:rPr>
          <w:rFonts w:ascii="Times New Roman" w:hAnsi="Times New Roman"/>
          <w:sz w:val="24"/>
          <w:szCs w:val="24"/>
        </w:rPr>
        <w:t>London</w:t>
      </w:r>
      <w:proofErr w:type="gramEnd"/>
      <w:r w:rsidR="00E63838" w:rsidRPr="007E40FA">
        <w:rPr>
          <w:rFonts w:ascii="Times New Roman" w:hAnsi="Times New Roman"/>
          <w:sz w:val="24"/>
          <w:szCs w:val="24"/>
        </w:rPr>
        <w:t>, Canada</w:t>
      </w:r>
    </w:p>
    <w:p w:rsidR="00E63838" w:rsidRPr="007E40FA" w:rsidRDefault="00BF4927" w:rsidP="00E330A4">
      <w:pPr>
        <w:spacing w:after="0" w:line="240" w:lineRule="auto"/>
        <w:ind w:left="85" w:hanging="85"/>
        <w:rPr>
          <w:rFonts w:ascii="Times New Roman" w:hAnsi="Times New Roman"/>
          <w:sz w:val="24"/>
          <w:szCs w:val="24"/>
        </w:rPr>
      </w:pPr>
      <w:hyperlink r:id="rId12" w:history="1">
        <w:r w:rsidR="00E63838" w:rsidRPr="007E40FA">
          <w:rPr>
            <w:rStyle w:val="Hyperlink"/>
            <w:rFonts w:ascii="Times New Roman" w:hAnsi="Times New Roman"/>
            <w:color w:val="auto"/>
            <w:sz w:val="24"/>
            <w:szCs w:val="24"/>
          </w:rPr>
          <w:t>Alison.Allan@lhsc.on.ca</w:t>
        </w:r>
      </w:hyperlink>
    </w:p>
    <w:p w:rsidR="00B91C3C" w:rsidRPr="007E40FA" w:rsidRDefault="00B91C3C" w:rsidP="00E330A4">
      <w:pPr>
        <w:widowControl w:val="0"/>
        <w:spacing w:after="0" w:line="240" w:lineRule="auto"/>
        <w:rPr>
          <w:rFonts w:ascii="Times New Roman" w:hAnsi="Times New Roman"/>
          <w:sz w:val="24"/>
          <w:szCs w:val="24"/>
        </w:rPr>
      </w:pPr>
    </w:p>
    <w:p w:rsidR="00D372EA" w:rsidRPr="007E40FA" w:rsidRDefault="00D372EA" w:rsidP="00E330A4">
      <w:pPr>
        <w:widowControl w:val="0"/>
        <w:spacing w:after="0" w:line="240" w:lineRule="auto"/>
        <w:rPr>
          <w:rFonts w:ascii="Times New Roman" w:hAnsi="Times New Roman"/>
          <w:b/>
          <w:bCs/>
          <w:sz w:val="24"/>
          <w:szCs w:val="24"/>
        </w:rPr>
      </w:pPr>
    </w:p>
    <w:p w:rsidR="00180583" w:rsidRPr="007E40FA" w:rsidRDefault="00B35A92" w:rsidP="00E330A4">
      <w:pPr>
        <w:widowControl w:val="0"/>
        <w:spacing w:after="0" w:line="240" w:lineRule="auto"/>
        <w:rPr>
          <w:rFonts w:ascii="Times New Roman" w:hAnsi="Times New Roman"/>
          <w:b/>
          <w:sz w:val="24"/>
          <w:szCs w:val="24"/>
        </w:rPr>
      </w:pPr>
      <w:r w:rsidRPr="007E40FA">
        <w:rPr>
          <w:rFonts w:ascii="Times New Roman" w:hAnsi="Times New Roman"/>
          <w:b/>
          <w:sz w:val="24"/>
          <w:szCs w:val="24"/>
        </w:rPr>
        <w:t>*</w:t>
      </w:r>
      <w:r w:rsidR="0090301D" w:rsidRPr="007E40FA">
        <w:rPr>
          <w:rFonts w:ascii="Times New Roman" w:hAnsi="Times New Roman"/>
          <w:b/>
          <w:bCs/>
          <w:sz w:val="24"/>
          <w:szCs w:val="24"/>
        </w:rPr>
        <w:t>CORRESPONDING AUTHOR:</w:t>
      </w:r>
    </w:p>
    <w:p w:rsidR="00B91C3C" w:rsidRPr="007E40FA" w:rsidRDefault="00B91C3C" w:rsidP="00E330A4">
      <w:pPr>
        <w:spacing w:after="0" w:line="240" w:lineRule="auto"/>
        <w:ind w:left="187" w:hanging="187"/>
        <w:rPr>
          <w:rFonts w:ascii="Times New Roman" w:hAnsi="Times New Roman"/>
          <w:sz w:val="24"/>
          <w:szCs w:val="24"/>
          <w:lang w:val="fr-FR"/>
        </w:rPr>
      </w:pPr>
      <w:r w:rsidRPr="007E40FA">
        <w:rPr>
          <w:rFonts w:ascii="Times New Roman" w:hAnsi="Times New Roman"/>
          <w:sz w:val="24"/>
          <w:szCs w:val="24"/>
          <w:lang w:val="fr-FR"/>
        </w:rPr>
        <w:t xml:space="preserve">Alison L. Allan, </w:t>
      </w:r>
      <w:proofErr w:type="spellStart"/>
      <w:r w:rsidRPr="007E40FA">
        <w:rPr>
          <w:rFonts w:ascii="Times New Roman" w:hAnsi="Times New Roman"/>
          <w:sz w:val="24"/>
          <w:szCs w:val="24"/>
          <w:lang w:val="fr-FR"/>
        </w:rPr>
        <w:t>Ph.D</w:t>
      </w:r>
      <w:proofErr w:type="spellEnd"/>
      <w:r w:rsidRPr="007E40FA">
        <w:rPr>
          <w:rFonts w:ascii="Times New Roman" w:hAnsi="Times New Roman"/>
          <w:sz w:val="24"/>
          <w:szCs w:val="24"/>
          <w:lang w:val="fr-FR"/>
        </w:rPr>
        <w:t>.</w:t>
      </w:r>
    </w:p>
    <w:p w:rsidR="00B91C3C" w:rsidRPr="007E40FA" w:rsidRDefault="00B91C3C" w:rsidP="00E330A4">
      <w:pPr>
        <w:spacing w:after="0" w:line="240" w:lineRule="auto"/>
        <w:rPr>
          <w:rFonts w:ascii="Times New Roman" w:hAnsi="Times New Roman"/>
          <w:sz w:val="24"/>
          <w:szCs w:val="24"/>
        </w:rPr>
      </w:pPr>
      <w:r w:rsidRPr="007E40FA">
        <w:rPr>
          <w:rFonts w:ascii="Times New Roman" w:hAnsi="Times New Roman"/>
          <w:sz w:val="24"/>
          <w:szCs w:val="24"/>
        </w:rPr>
        <w:t>London Regional Cancer Program</w:t>
      </w:r>
    </w:p>
    <w:p w:rsidR="00B91C3C" w:rsidRPr="007E40FA" w:rsidRDefault="00B91C3C" w:rsidP="00E330A4">
      <w:pPr>
        <w:spacing w:after="0" w:line="240" w:lineRule="auto"/>
        <w:ind w:left="187" w:hanging="187"/>
        <w:rPr>
          <w:rFonts w:ascii="Times New Roman" w:hAnsi="Times New Roman"/>
          <w:sz w:val="24"/>
          <w:szCs w:val="24"/>
        </w:rPr>
      </w:pPr>
      <w:r w:rsidRPr="007E40FA">
        <w:rPr>
          <w:rFonts w:ascii="Times New Roman" w:hAnsi="Times New Roman"/>
          <w:sz w:val="24"/>
          <w:szCs w:val="24"/>
        </w:rPr>
        <w:t>790 Commissioners Road East</w:t>
      </w:r>
    </w:p>
    <w:p w:rsidR="00B91C3C" w:rsidRPr="007E40FA" w:rsidRDefault="00B91C3C" w:rsidP="00E330A4">
      <w:pPr>
        <w:spacing w:after="0" w:line="240" w:lineRule="auto"/>
        <w:ind w:left="187" w:hanging="187"/>
        <w:rPr>
          <w:rFonts w:ascii="Times New Roman" w:hAnsi="Times New Roman"/>
          <w:sz w:val="24"/>
          <w:szCs w:val="24"/>
          <w:lang w:val="it-IT"/>
        </w:rPr>
      </w:pPr>
      <w:r w:rsidRPr="007E40FA">
        <w:rPr>
          <w:rFonts w:ascii="Times New Roman" w:hAnsi="Times New Roman"/>
          <w:sz w:val="24"/>
          <w:szCs w:val="24"/>
          <w:lang w:val="it-IT"/>
        </w:rPr>
        <w:t>London, Ontario CANADA N6A 4L6</w:t>
      </w:r>
    </w:p>
    <w:p w:rsidR="00B91C3C" w:rsidRPr="007E40FA" w:rsidRDefault="00B91C3C" w:rsidP="00E330A4">
      <w:pPr>
        <w:spacing w:after="0" w:line="240" w:lineRule="auto"/>
        <w:ind w:left="187" w:hanging="187"/>
        <w:rPr>
          <w:rFonts w:ascii="Times New Roman" w:hAnsi="Times New Roman"/>
          <w:sz w:val="24"/>
          <w:szCs w:val="24"/>
          <w:lang w:val="it-IT"/>
        </w:rPr>
      </w:pPr>
      <w:r w:rsidRPr="007E40FA">
        <w:rPr>
          <w:rFonts w:ascii="Times New Roman" w:hAnsi="Times New Roman"/>
          <w:sz w:val="24"/>
          <w:szCs w:val="24"/>
          <w:lang w:val="it-IT"/>
        </w:rPr>
        <w:t>Tel: (519) 685-8600 x55134</w:t>
      </w:r>
    </w:p>
    <w:p w:rsidR="00B91C3C" w:rsidRPr="007E40FA" w:rsidRDefault="00B91C3C" w:rsidP="00E330A4">
      <w:pPr>
        <w:spacing w:after="0" w:line="240" w:lineRule="auto"/>
        <w:ind w:left="187" w:hanging="187"/>
        <w:rPr>
          <w:rFonts w:ascii="Times New Roman" w:hAnsi="Times New Roman"/>
          <w:sz w:val="24"/>
          <w:szCs w:val="24"/>
          <w:lang w:val="fr-FR"/>
        </w:rPr>
      </w:pPr>
      <w:r w:rsidRPr="007E40FA">
        <w:rPr>
          <w:rFonts w:ascii="Times New Roman" w:hAnsi="Times New Roman"/>
          <w:sz w:val="24"/>
          <w:szCs w:val="24"/>
          <w:lang w:val="fr-FR"/>
        </w:rPr>
        <w:t>Fax: (</w:t>
      </w:r>
      <w:r w:rsidRPr="007E40FA">
        <w:rPr>
          <w:rStyle w:val="apple-style-span"/>
          <w:rFonts w:ascii="Times New Roman" w:hAnsi="Times New Roman"/>
          <w:sz w:val="24"/>
          <w:szCs w:val="24"/>
          <w:shd w:val="clear" w:color="auto" w:fill="FFFFFF"/>
        </w:rPr>
        <w:t>519) 685-8616</w:t>
      </w:r>
    </w:p>
    <w:p w:rsidR="00B91C3C" w:rsidRPr="007E40FA" w:rsidRDefault="00B91C3C" w:rsidP="00E330A4">
      <w:pPr>
        <w:spacing w:after="0" w:line="240" w:lineRule="auto"/>
        <w:ind w:left="187" w:hanging="187"/>
        <w:rPr>
          <w:rStyle w:val="Hyperlink"/>
          <w:rFonts w:ascii="Times New Roman" w:hAnsi="Times New Roman"/>
          <w:color w:val="auto"/>
          <w:sz w:val="24"/>
          <w:szCs w:val="24"/>
        </w:rPr>
      </w:pPr>
      <w:r w:rsidRPr="007E40FA">
        <w:rPr>
          <w:rFonts w:ascii="Times New Roman" w:hAnsi="Times New Roman"/>
          <w:sz w:val="24"/>
          <w:szCs w:val="24"/>
          <w:lang w:val="fr-FR"/>
        </w:rPr>
        <w:t xml:space="preserve">Email: </w:t>
      </w:r>
      <w:hyperlink r:id="rId13" w:history="1">
        <w:r w:rsidR="00D04C9A" w:rsidRPr="007E40FA">
          <w:rPr>
            <w:rStyle w:val="Hyperlink"/>
            <w:rFonts w:ascii="Times New Roman" w:hAnsi="Times New Roman"/>
            <w:color w:val="auto"/>
            <w:sz w:val="24"/>
            <w:szCs w:val="24"/>
            <w:lang w:val="fr-FR"/>
          </w:rPr>
          <w:t>Alison.Allan@lhsc.on.ca</w:t>
        </w:r>
      </w:hyperlink>
    </w:p>
    <w:p w:rsidR="0090301D" w:rsidRPr="007E40FA" w:rsidRDefault="0090301D" w:rsidP="00BC43B2">
      <w:pPr>
        <w:spacing w:after="0" w:line="240" w:lineRule="auto"/>
        <w:jc w:val="both"/>
        <w:rPr>
          <w:rStyle w:val="apple-style-span"/>
          <w:rFonts w:ascii="Times New Roman" w:hAnsi="Times New Roman"/>
          <w:b/>
          <w:sz w:val="24"/>
          <w:szCs w:val="24"/>
          <w:highlight w:val="yellow"/>
        </w:rPr>
      </w:pPr>
    </w:p>
    <w:p w:rsidR="00BC43B2" w:rsidRPr="007E40FA" w:rsidRDefault="00BC43B2" w:rsidP="00BC43B2">
      <w:pPr>
        <w:spacing w:after="0" w:line="240" w:lineRule="auto"/>
        <w:jc w:val="both"/>
        <w:rPr>
          <w:rFonts w:ascii="Times New Roman" w:hAnsi="Times New Roman"/>
          <w:sz w:val="24"/>
          <w:szCs w:val="24"/>
        </w:rPr>
      </w:pPr>
    </w:p>
    <w:p w:rsidR="00180583" w:rsidRPr="007E40FA" w:rsidRDefault="0090301D" w:rsidP="00BC43B2">
      <w:pPr>
        <w:spacing w:after="0" w:line="240" w:lineRule="auto"/>
        <w:jc w:val="both"/>
        <w:rPr>
          <w:rFonts w:ascii="Times New Roman" w:hAnsi="Times New Roman"/>
          <w:sz w:val="24"/>
          <w:szCs w:val="24"/>
        </w:rPr>
      </w:pPr>
      <w:r w:rsidRPr="007E40FA">
        <w:rPr>
          <w:rFonts w:ascii="Times New Roman" w:hAnsi="Times New Roman"/>
          <w:b/>
          <w:sz w:val="24"/>
          <w:szCs w:val="24"/>
        </w:rPr>
        <w:t>KEYWORDS</w:t>
      </w:r>
      <w:r w:rsidR="00180583" w:rsidRPr="007E40FA">
        <w:rPr>
          <w:rFonts w:ascii="Times New Roman" w:hAnsi="Times New Roman"/>
          <w:b/>
          <w:sz w:val="24"/>
          <w:szCs w:val="24"/>
        </w:rPr>
        <w:t xml:space="preserve">: </w:t>
      </w:r>
      <w:r w:rsidR="000E16E4" w:rsidRPr="007E40FA">
        <w:rPr>
          <w:rFonts w:ascii="Times New Roman" w:hAnsi="Times New Roman"/>
          <w:sz w:val="24"/>
          <w:szCs w:val="24"/>
        </w:rPr>
        <w:t>cancer; metastasis; circulating tumor cells (CTCs);</w:t>
      </w:r>
      <w:r w:rsidR="00180583" w:rsidRPr="007E40FA">
        <w:rPr>
          <w:rFonts w:ascii="Times New Roman" w:hAnsi="Times New Roman"/>
          <w:sz w:val="24"/>
          <w:szCs w:val="24"/>
        </w:rPr>
        <w:t xml:space="preserve"> </w:t>
      </w:r>
      <w:proofErr w:type="spellStart"/>
      <w:r w:rsidR="00180583" w:rsidRPr="007E40FA">
        <w:rPr>
          <w:rFonts w:ascii="Times New Roman" w:hAnsi="Times New Roman"/>
          <w:sz w:val="24"/>
          <w:szCs w:val="24"/>
        </w:rPr>
        <w:t>CellSearch</w:t>
      </w:r>
      <w:proofErr w:type="spellEnd"/>
      <w:r w:rsidRPr="007E40FA">
        <w:rPr>
          <w:rFonts w:ascii="Times New Roman" w:hAnsi="Times New Roman"/>
          <w:sz w:val="24"/>
          <w:szCs w:val="24"/>
        </w:rPr>
        <w:t xml:space="preserve"> </w:t>
      </w:r>
      <w:r w:rsidR="000E16E4" w:rsidRPr="007E40FA">
        <w:rPr>
          <w:rFonts w:ascii="Times New Roman" w:hAnsi="Times New Roman"/>
          <w:sz w:val="24"/>
          <w:szCs w:val="24"/>
        </w:rPr>
        <w:t>system;</w:t>
      </w:r>
      <w:r w:rsidR="00180583" w:rsidRPr="007E40FA">
        <w:rPr>
          <w:rFonts w:ascii="Times New Roman" w:hAnsi="Times New Roman"/>
          <w:sz w:val="24"/>
          <w:szCs w:val="24"/>
        </w:rPr>
        <w:t xml:space="preserve"> </w:t>
      </w:r>
      <w:r w:rsidR="00770775" w:rsidRPr="007E40FA">
        <w:rPr>
          <w:rFonts w:ascii="Times New Roman" w:hAnsi="Times New Roman"/>
          <w:sz w:val="24"/>
          <w:szCs w:val="24"/>
        </w:rPr>
        <w:t xml:space="preserve">user defined marker </w:t>
      </w:r>
      <w:r w:rsidR="000E16E4" w:rsidRPr="007E40FA">
        <w:rPr>
          <w:rFonts w:ascii="Times New Roman" w:hAnsi="Times New Roman"/>
          <w:sz w:val="24"/>
          <w:szCs w:val="24"/>
        </w:rPr>
        <w:t>characterization;</w:t>
      </w:r>
      <w:r w:rsidR="00180583" w:rsidRPr="007E40FA">
        <w:rPr>
          <w:rFonts w:ascii="Times New Roman" w:hAnsi="Times New Roman"/>
          <w:sz w:val="24"/>
          <w:szCs w:val="24"/>
        </w:rPr>
        <w:t xml:space="preserve"> </w:t>
      </w:r>
      <w:r w:rsidR="00EF7FED" w:rsidRPr="007E40FA">
        <w:rPr>
          <w:rFonts w:ascii="Times New Roman" w:hAnsi="Times New Roman"/>
          <w:i/>
          <w:sz w:val="24"/>
          <w:szCs w:val="24"/>
        </w:rPr>
        <w:t>in vivo</w:t>
      </w:r>
      <w:r w:rsidR="000E16E4" w:rsidRPr="007E40FA">
        <w:rPr>
          <w:rFonts w:ascii="Times New Roman" w:hAnsi="Times New Roman"/>
          <w:sz w:val="24"/>
          <w:szCs w:val="24"/>
        </w:rPr>
        <w:t>;</w:t>
      </w:r>
      <w:r w:rsidR="00EF7FED" w:rsidRPr="007E40FA">
        <w:rPr>
          <w:rFonts w:ascii="Times New Roman" w:hAnsi="Times New Roman"/>
          <w:sz w:val="24"/>
          <w:szCs w:val="24"/>
        </w:rPr>
        <w:t xml:space="preserve"> </w:t>
      </w:r>
      <w:r w:rsidR="00770775" w:rsidRPr="007E40FA">
        <w:rPr>
          <w:rFonts w:ascii="Times New Roman" w:hAnsi="Times New Roman"/>
          <w:sz w:val="24"/>
          <w:szCs w:val="24"/>
        </w:rPr>
        <w:t xml:space="preserve">pre-clinical </w:t>
      </w:r>
      <w:r w:rsidR="00180583" w:rsidRPr="007E40FA">
        <w:rPr>
          <w:rFonts w:ascii="Times New Roman" w:hAnsi="Times New Roman"/>
          <w:sz w:val="24"/>
          <w:szCs w:val="24"/>
        </w:rPr>
        <w:t>mouse model</w:t>
      </w:r>
    </w:p>
    <w:p w:rsidR="00BC43B2" w:rsidRPr="007E40FA" w:rsidRDefault="00BC43B2" w:rsidP="00E330A4">
      <w:pPr>
        <w:autoSpaceDE w:val="0"/>
        <w:autoSpaceDN w:val="0"/>
        <w:adjustRightInd w:val="0"/>
        <w:spacing w:after="0" w:line="240" w:lineRule="auto"/>
        <w:jc w:val="both"/>
        <w:rPr>
          <w:rFonts w:ascii="Times New Roman" w:eastAsiaTheme="minorHAnsi" w:hAnsi="Times New Roman"/>
          <w:b/>
          <w:bCs/>
          <w:sz w:val="24"/>
          <w:szCs w:val="24"/>
        </w:rPr>
      </w:pPr>
    </w:p>
    <w:p w:rsidR="00770775" w:rsidRPr="007E40FA" w:rsidRDefault="00770775">
      <w:pPr>
        <w:rPr>
          <w:rFonts w:ascii="Times New Roman" w:eastAsiaTheme="minorHAnsi" w:hAnsi="Times New Roman"/>
          <w:b/>
          <w:bCs/>
          <w:sz w:val="24"/>
          <w:szCs w:val="24"/>
        </w:rPr>
      </w:pPr>
      <w:r w:rsidRPr="007E40FA">
        <w:rPr>
          <w:rFonts w:ascii="Times New Roman" w:eastAsiaTheme="minorHAnsi" w:hAnsi="Times New Roman"/>
          <w:b/>
          <w:bCs/>
          <w:sz w:val="24"/>
          <w:szCs w:val="24"/>
        </w:rPr>
        <w:br w:type="page"/>
      </w:r>
    </w:p>
    <w:p w:rsidR="006368B7" w:rsidRPr="007E40FA" w:rsidRDefault="0090301D" w:rsidP="00052FD7">
      <w:pPr>
        <w:autoSpaceDE w:val="0"/>
        <w:autoSpaceDN w:val="0"/>
        <w:adjustRightInd w:val="0"/>
        <w:spacing w:after="0" w:line="240" w:lineRule="auto"/>
        <w:jc w:val="both"/>
        <w:rPr>
          <w:rFonts w:ascii="Times New Roman" w:eastAsiaTheme="minorHAnsi" w:hAnsi="Times New Roman"/>
          <w:b/>
          <w:bCs/>
          <w:sz w:val="24"/>
          <w:szCs w:val="24"/>
        </w:rPr>
      </w:pPr>
      <w:r w:rsidRPr="007E40FA">
        <w:rPr>
          <w:rFonts w:ascii="Times New Roman" w:eastAsiaTheme="minorHAnsi" w:hAnsi="Times New Roman"/>
          <w:b/>
          <w:bCs/>
          <w:sz w:val="24"/>
          <w:szCs w:val="24"/>
        </w:rPr>
        <w:lastRenderedPageBreak/>
        <w:t>SHORT ABSTRACT</w:t>
      </w:r>
      <w:r w:rsidR="00180583" w:rsidRPr="007E40FA">
        <w:rPr>
          <w:rFonts w:ascii="Times New Roman" w:eastAsiaTheme="minorHAnsi" w:hAnsi="Times New Roman"/>
          <w:b/>
          <w:bCs/>
          <w:sz w:val="24"/>
          <w:szCs w:val="24"/>
        </w:rPr>
        <w:t>:</w:t>
      </w:r>
    </w:p>
    <w:p w:rsidR="00180583" w:rsidRPr="007E40FA" w:rsidRDefault="00180583">
      <w:pPr>
        <w:autoSpaceDE w:val="0"/>
        <w:autoSpaceDN w:val="0"/>
        <w:adjustRightInd w:val="0"/>
        <w:spacing w:after="0" w:line="240" w:lineRule="auto"/>
        <w:jc w:val="both"/>
        <w:rPr>
          <w:rFonts w:ascii="Times New Roman" w:eastAsiaTheme="minorHAnsi" w:hAnsi="Times New Roman"/>
          <w:b/>
          <w:bCs/>
          <w:sz w:val="24"/>
          <w:szCs w:val="24"/>
        </w:rPr>
      </w:pPr>
    </w:p>
    <w:p w:rsidR="00FB75F9" w:rsidRPr="007E40FA" w:rsidRDefault="00EF7FED">
      <w:pPr>
        <w:autoSpaceDE w:val="0"/>
        <w:autoSpaceDN w:val="0"/>
        <w:adjustRightInd w:val="0"/>
        <w:spacing w:after="0" w:line="240" w:lineRule="auto"/>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Circulating tumor cells (CTCs) </w:t>
      </w:r>
      <w:r w:rsidR="00F57115" w:rsidRPr="007E40FA">
        <w:rPr>
          <w:rFonts w:ascii="Times New Roman" w:eastAsiaTheme="minorHAnsi" w:hAnsi="Times New Roman"/>
          <w:sz w:val="24"/>
          <w:szCs w:val="24"/>
        </w:rPr>
        <w:t>are</w:t>
      </w:r>
      <w:r w:rsidRPr="007E40FA">
        <w:rPr>
          <w:rFonts w:ascii="Times New Roman" w:eastAsiaTheme="minorHAnsi" w:hAnsi="Times New Roman"/>
          <w:sz w:val="24"/>
          <w:szCs w:val="24"/>
        </w:rPr>
        <w:t xml:space="preserve"> </w:t>
      </w:r>
      <w:r w:rsidR="000336C0" w:rsidRPr="007E40FA">
        <w:rPr>
          <w:rFonts w:ascii="Times New Roman" w:eastAsiaTheme="minorHAnsi" w:hAnsi="Times New Roman"/>
          <w:sz w:val="24"/>
          <w:szCs w:val="24"/>
        </w:rPr>
        <w:t>prognostic</w:t>
      </w:r>
      <w:r w:rsidRPr="007E40FA">
        <w:rPr>
          <w:rFonts w:ascii="Times New Roman" w:eastAsiaTheme="minorHAnsi" w:hAnsi="Times New Roman"/>
          <w:sz w:val="24"/>
          <w:szCs w:val="24"/>
        </w:rPr>
        <w:t xml:space="preserve"> in </w:t>
      </w:r>
      <w:r w:rsidR="00F57115" w:rsidRPr="007E40FA">
        <w:rPr>
          <w:rFonts w:ascii="Times New Roman" w:eastAsiaTheme="minorHAnsi" w:hAnsi="Times New Roman"/>
          <w:sz w:val="24"/>
          <w:szCs w:val="24"/>
        </w:rPr>
        <w:t>several</w:t>
      </w:r>
      <w:r w:rsidRPr="007E40FA">
        <w:rPr>
          <w:rFonts w:ascii="Times New Roman" w:eastAsiaTheme="minorHAnsi" w:hAnsi="Times New Roman"/>
          <w:sz w:val="24"/>
          <w:szCs w:val="24"/>
        </w:rPr>
        <w:t xml:space="preserve"> metastatic cancers. </w:t>
      </w:r>
      <w:r w:rsidR="00F57115" w:rsidRPr="007E40FA">
        <w:rPr>
          <w:rFonts w:ascii="Times New Roman" w:eastAsiaTheme="minorHAnsi" w:hAnsi="Times New Roman"/>
          <w:sz w:val="24"/>
          <w:szCs w:val="24"/>
        </w:rPr>
        <w:t>This manuscript</w:t>
      </w:r>
      <w:r w:rsidRPr="007E40FA">
        <w:rPr>
          <w:rFonts w:ascii="Times New Roman" w:eastAsiaTheme="minorHAnsi" w:hAnsi="Times New Roman"/>
          <w:sz w:val="24"/>
          <w:szCs w:val="24"/>
        </w:rPr>
        <w:t xml:space="preserve"> </w:t>
      </w:r>
      <w:r w:rsidR="00E7248A" w:rsidRPr="007E40FA">
        <w:rPr>
          <w:rFonts w:ascii="Times New Roman" w:eastAsiaTheme="minorHAnsi" w:hAnsi="Times New Roman"/>
          <w:sz w:val="24"/>
          <w:szCs w:val="24"/>
        </w:rPr>
        <w:t>describes</w:t>
      </w:r>
      <w:r w:rsidR="000336C0" w:rsidRPr="007E40FA">
        <w:rPr>
          <w:rFonts w:ascii="Times New Roman" w:eastAsiaTheme="minorHAnsi" w:hAnsi="Times New Roman"/>
          <w:sz w:val="24"/>
          <w:szCs w:val="24"/>
        </w:rPr>
        <w:t xml:space="preserve"> the gold standard</w:t>
      </w:r>
      <w:r w:rsidRPr="007E40FA">
        <w:rPr>
          <w:rFonts w:ascii="Times New Roman" w:eastAsiaTheme="minorHAnsi" w:hAnsi="Times New Roman"/>
          <w:sz w:val="24"/>
          <w:szCs w:val="24"/>
        </w:rPr>
        <w:t xml:space="preserve"> </w:t>
      </w:r>
      <w:proofErr w:type="spellStart"/>
      <w:r w:rsidR="00E7248A" w:rsidRPr="007E40FA">
        <w:rPr>
          <w:rFonts w:ascii="Times New Roman" w:eastAsiaTheme="minorHAnsi" w:hAnsi="Times New Roman"/>
          <w:sz w:val="24"/>
          <w:szCs w:val="24"/>
        </w:rPr>
        <w:t>CellSearch</w:t>
      </w:r>
      <w:proofErr w:type="spellEnd"/>
      <w:r w:rsidR="004C0272" w:rsidRPr="007E40FA">
        <w:rPr>
          <w:rFonts w:ascii="Times New Roman" w:eastAsiaTheme="minorHAnsi" w:hAnsi="Times New Roman"/>
          <w:sz w:val="24"/>
          <w:szCs w:val="24"/>
        </w:rPr>
        <w:t xml:space="preserve"> system (CSS)</w:t>
      </w:r>
      <w:r w:rsidR="00E7248A" w:rsidRPr="007E40FA">
        <w:rPr>
          <w:rFonts w:ascii="Times New Roman" w:eastAsiaTheme="minorHAnsi" w:hAnsi="Times New Roman"/>
          <w:sz w:val="24"/>
          <w:szCs w:val="24"/>
        </w:rPr>
        <w:t xml:space="preserve"> </w:t>
      </w:r>
      <w:r w:rsidR="000336C0" w:rsidRPr="007E40FA">
        <w:rPr>
          <w:rFonts w:ascii="Times New Roman" w:eastAsiaTheme="minorHAnsi" w:hAnsi="Times New Roman"/>
          <w:sz w:val="24"/>
          <w:szCs w:val="24"/>
        </w:rPr>
        <w:t>CTC enumeration platform</w:t>
      </w:r>
      <w:r w:rsidR="00E7248A"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 xml:space="preserve">and </w:t>
      </w:r>
      <w:r w:rsidR="00F57115" w:rsidRPr="007E40FA">
        <w:rPr>
          <w:rFonts w:ascii="Times New Roman" w:eastAsiaTheme="minorHAnsi" w:hAnsi="Times New Roman"/>
          <w:sz w:val="24"/>
          <w:szCs w:val="24"/>
        </w:rPr>
        <w:t xml:space="preserve">highlights common </w:t>
      </w:r>
      <w:r w:rsidR="000336C0" w:rsidRPr="007E40FA">
        <w:rPr>
          <w:rFonts w:ascii="Times New Roman" w:eastAsiaTheme="minorHAnsi" w:hAnsi="Times New Roman"/>
          <w:sz w:val="24"/>
          <w:szCs w:val="24"/>
        </w:rPr>
        <w:t>mis</w:t>
      </w:r>
      <w:r w:rsidR="00F57115" w:rsidRPr="007E40FA">
        <w:rPr>
          <w:rFonts w:ascii="Times New Roman" w:eastAsiaTheme="minorHAnsi" w:hAnsi="Times New Roman"/>
          <w:sz w:val="24"/>
          <w:szCs w:val="24"/>
        </w:rPr>
        <w:t xml:space="preserve">classification errors. </w:t>
      </w:r>
      <w:r w:rsidR="000336C0" w:rsidRPr="007E40FA">
        <w:rPr>
          <w:rFonts w:ascii="Times New Roman" w:eastAsiaTheme="minorHAnsi" w:hAnsi="Times New Roman"/>
          <w:sz w:val="24"/>
          <w:szCs w:val="24"/>
        </w:rPr>
        <w:t>In addition</w:t>
      </w:r>
      <w:r w:rsidR="00F57115" w:rsidRPr="007E40FA">
        <w:rPr>
          <w:rFonts w:ascii="Times New Roman" w:eastAsiaTheme="minorHAnsi" w:hAnsi="Times New Roman"/>
          <w:sz w:val="24"/>
          <w:szCs w:val="24"/>
        </w:rPr>
        <w:t>, 2 adapted protocols</w:t>
      </w:r>
      <w:r w:rsidR="00074403" w:rsidRPr="007E40FA">
        <w:rPr>
          <w:rFonts w:ascii="Times New Roman" w:eastAsiaTheme="minorHAnsi" w:hAnsi="Times New Roman"/>
          <w:sz w:val="24"/>
          <w:szCs w:val="24"/>
        </w:rPr>
        <w:t xml:space="preserve"> are described</w:t>
      </w:r>
      <w:r w:rsidR="00F57115" w:rsidRPr="007E40FA">
        <w:rPr>
          <w:rFonts w:ascii="Times New Roman" w:eastAsiaTheme="minorHAnsi" w:hAnsi="Times New Roman"/>
          <w:sz w:val="24"/>
          <w:szCs w:val="24"/>
        </w:rPr>
        <w:t xml:space="preserve"> for</w:t>
      </w:r>
      <w:r w:rsidR="00E7248A" w:rsidRPr="007E40FA">
        <w:rPr>
          <w:rFonts w:ascii="Times New Roman" w:eastAsiaTheme="minorHAnsi" w:hAnsi="Times New Roman"/>
          <w:sz w:val="24"/>
          <w:szCs w:val="24"/>
        </w:rPr>
        <w:t xml:space="preserve"> user-defined marker</w:t>
      </w:r>
      <w:r w:rsidR="00F57115" w:rsidRPr="007E40FA">
        <w:rPr>
          <w:rFonts w:ascii="Times New Roman" w:eastAsiaTheme="minorHAnsi" w:hAnsi="Times New Roman"/>
          <w:sz w:val="24"/>
          <w:szCs w:val="24"/>
        </w:rPr>
        <w:t xml:space="preserve"> characterization of CTCs and CTC enumeration in </w:t>
      </w:r>
      <w:r w:rsidR="00E7248A" w:rsidRPr="007E40FA">
        <w:rPr>
          <w:rFonts w:ascii="Times New Roman" w:eastAsiaTheme="minorHAnsi" w:hAnsi="Times New Roman"/>
          <w:sz w:val="24"/>
          <w:szCs w:val="24"/>
        </w:rPr>
        <w:t xml:space="preserve">pre-clinical </w:t>
      </w:r>
      <w:r w:rsidR="00F57115" w:rsidRPr="007E40FA">
        <w:rPr>
          <w:rFonts w:ascii="Times New Roman" w:eastAsiaTheme="minorHAnsi" w:hAnsi="Times New Roman"/>
          <w:sz w:val="24"/>
          <w:szCs w:val="24"/>
        </w:rPr>
        <w:t>mouse models</w:t>
      </w:r>
      <w:r w:rsidR="00E7248A" w:rsidRPr="007E40FA">
        <w:rPr>
          <w:rFonts w:ascii="Times New Roman" w:eastAsiaTheme="minorHAnsi" w:hAnsi="Times New Roman"/>
          <w:sz w:val="24"/>
          <w:szCs w:val="24"/>
        </w:rPr>
        <w:t xml:space="preserve"> of metastasis</w:t>
      </w:r>
      <w:r w:rsidR="00F57115" w:rsidRPr="007E40FA">
        <w:rPr>
          <w:rFonts w:ascii="Times New Roman" w:eastAsiaTheme="minorHAnsi" w:hAnsi="Times New Roman"/>
          <w:sz w:val="24"/>
          <w:szCs w:val="24"/>
        </w:rPr>
        <w:t xml:space="preserve"> using this </w:t>
      </w:r>
      <w:r w:rsidR="000336C0" w:rsidRPr="007E40FA">
        <w:rPr>
          <w:rFonts w:ascii="Times New Roman" w:eastAsiaTheme="minorHAnsi" w:hAnsi="Times New Roman"/>
          <w:sz w:val="24"/>
          <w:szCs w:val="24"/>
        </w:rPr>
        <w:t>technology</w:t>
      </w:r>
      <w:r w:rsidR="00F57115" w:rsidRPr="007E40FA">
        <w:rPr>
          <w:rFonts w:ascii="Times New Roman" w:eastAsiaTheme="minorHAnsi" w:hAnsi="Times New Roman"/>
          <w:sz w:val="24"/>
          <w:szCs w:val="24"/>
        </w:rPr>
        <w:t xml:space="preserve">.  </w:t>
      </w:r>
    </w:p>
    <w:p w:rsidR="006368B7" w:rsidRPr="007E40FA" w:rsidRDefault="006368B7">
      <w:pPr>
        <w:rPr>
          <w:rFonts w:ascii="Times New Roman" w:eastAsiaTheme="minorHAnsi" w:hAnsi="Times New Roman"/>
          <w:sz w:val="24"/>
          <w:szCs w:val="24"/>
        </w:rPr>
      </w:pPr>
      <w:r w:rsidRPr="007E40FA">
        <w:rPr>
          <w:rFonts w:ascii="Times New Roman" w:eastAsiaTheme="minorHAnsi" w:hAnsi="Times New Roman"/>
          <w:sz w:val="24"/>
          <w:szCs w:val="24"/>
        </w:rPr>
        <w:br w:type="page"/>
      </w:r>
    </w:p>
    <w:p w:rsidR="006368B7" w:rsidRPr="007E40FA" w:rsidRDefault="0090301D" w:rsidP="00052FD7">
      <w:pPr>
        <w:autoSpaceDE w:val="0"/>
        <w:autoSpaceDN w:val="0"/>
        <w:adjustRightInd w:val="0"/>
        <w:spacing w:after="0" w:line="240" w:lineRule="auto"/>
        <w:jc w:val="both"/>
        <w:rPr>
          <w:rFonts w:ascii="Times New Roman" w:eastAsiaTheme="minorHAnsi" w:hAnsi="Times New Roman"/>
          <w:b/>
          <w:bCs/>
          <w:sz w:val="24"/>
          <w:szCs w:val="24"/>
        </w:rPr>
      </w:pPr>
      <w:r w:rsidRPr="007E40FA">
        <w:rPr>
          <w:rFonts w:ascii="Times New Roman" w:eastAsiaTheme="minorHAnsi" w:hAnsi="Times New Roman"/>
          <w:b/>
          <w:bCs/>
          <w:sz w:val="24"/>
          <w:szCs w:val="24"/>
        </w:rPr>
        <w:lastRenderedPageBreak/>
        <w:t>LONG ABSTRACT</w:t>
      </w:r>
      <w:r w:rsidR="00180583" w:rsidRPr="007E40FA">
        <w:rPr>
          <w:rFonts w:ascii="Times New Roman" w:eastAsiaTheme="minorHAnsi" w:hAnsi="Times New Roman"/>
          <w:b/>
          <w:bCs/>
          <w:sz w:val="24"/>
          <w:szCs w:val="24"/>
        </w:rPr>
        <w:t xml:space="preserve">: </w:t>
      </w:r>
    </w:p>
    <w:p w:rsidR="000668F2" w:rsidRPr="007E40FA" w:rsidRDefault="000668F2">
      <w:pPr>
        <w:autoSpaceDE w:val="0"/>
        <w:autoSpaceDN w:val="0"/>
        <w:adjustRightInd w:val="0"/>
        <w:spacing w:after="0" w:line="240" w:lineRule="auto"/>
        <w:jc w:val="both"/>
        <w:rPr>
          <w:rFonts w:ascii="Times New Roman" w:eastAsiaTheme="minorHAnsi" w:hAnsi="Times New Roman"/>
          <w:i/>
          <w:iCs/>
          <w:sz w:val="24"/>
          <w:szCs w:val="24"/>
        </w:rPr>
      </w:pPr>
    </w:p>
    <w:p w:rsidR="000336C0" w:rsidRPr="007E40FA" w:rsidRDefault="002957A6">
      <w:pPr>
        <w:autoSpaceDE w:val="0"/>
        <w:autoSpaceDN w:val="0"/>
        <w:adjustRightInd w:val="0"/>
        <w:spacing w:after="0" w:line="240" w:lineRule="auto"/>
        <w:jc w:val="both"/>
        <w:rPr>
          <w:rFonts w:ascii="Times New Roman" w:eastAsiaTheme="minorHAnsi" w:hAnsi="Times New Roman"/>
          <w:sz w:val="24"/>
          <w:szCs w:val="24"/>
        </w:rPr>
      </w:pPr>
      <w:r w:rsidRPr="007E40FA">
        <w:rPr>
          <w:rFonts w:ascii="Times New Roman" w:hAnsi="Times New Roman"/>
          <w:sz w:val="24"/>
          <w:szCs w:val="24"/>
        </w:rPr>
        <w:t xml:space="preserve">The majority of cancer-related deaths </w:t>
      </w:r>
      <w:r w:rsidR="0020665C" w:rsidRPr="007E40FA">
        <w:rPr>
          <w:rFonts w:ascii="Times New Roman" w:hAnsi="Times New Roman"/>
          <w:sz w:val="24"/>
          <w:szCs w:val="24"/>
        </w:rPr>
        <w:t>occur</w:t>
      </w:r>
      <w:r w:rsidRPr="007E40FA">
        <w:rPr>
          <w:rFonts w:ascii="Times New Roman" w:hAnsi="Times New Roman"/>
          <w:sz w:val="24"/>
          <w:szCs w:val="24"/>
        </w:rPr>
        <w:t xml:space="preserve"> subsequent to the development of metastatic disease. This highly lethal disease stage </w:t>
      </w:r>
      <w:r w:rsidR="004424F5" w:rsidRPr="007E40FA">
        <w:rPr>
          <w:rFonts w:ascii="Times New Roman" w:hAnsi="Times New Roman"/>
          <w:sz w:val="24"/>
          <w:szCs w:val="24"/>
        </w:rPr>
        <w:t>is</w:t>
      </w:r>
      <w:r w:rsidRPr="007E40FA">
        <w:rPr>
          <w:rFonts w:ascii="Times New Roman" w:hAnsi="Times New Roman"/>
          <w:sz w:val="24"/>
          <w:szCs w:val="24"/>
        </w:rPr>
        <w:t xml:space="preserve"> associated with the presence of circulating tumor cells (CTCs).</w:t>
      </w:r>
      <w:r w:rsidR="004424F5" w:rsidRPr="007E40FA">
        <w:rPr>
          <w:rFonts w:ascii="Times New Roman" w:hAnsi="Times New Roman"/>
          <w:sz w:val="24"/>
          <w:szCs w:val="24"/>
        </w:rPr>
        <w:t xml:space="preserve"> These rare cells have been demonstrated to be of clinical significance in metastatic breast, prostate, and colorectal cancers. The current gold standard in </w:t>
      </w:r>
      <w:r w:rsidR="00933B35" w:rsidRPr="007E40FA">
        <w:rPr>
          <w:rFonts w:ascii="Times New Roman" w:hAnsi="Times New Roman"/>
          <w:sz w:val="24"/>
          <w:szCs w:val="24"/>
        </w:rPr>
        <w:t xml:space="preserve">clinical </w:t>
      </w:r>
      <w:r w:rsidR="004424F5" w:rsidRPr="007E40FA">
        <w:rPr>
          <w:rFonts w:ascii="Times New Roman" w:hAnsi="Times New Roman"/>
          <w:sz w:val="24"/>
          <w:szCs w:val="24"/>
        </w:rPr>
        <w:t>CTC detection and enumeration is the FDA</w:t>
      </w:r>
      <w:r w:rsidR="00293670" w:rsidRPr="007E40FA">
        <w:rPr>
          <w:rFonts w:ascii="Times New Roman" w:hAnsi="Times New Roman"/>
          <w:sz w:val="24"/>
          <w:szCs w:val="24"/>
        </w:rPr>
        <w:t>-</w:t>
      </w:r>
      <w:r w:rsidR="004424F5" w:rsidRPr="007E40FA">
        <w:rPr>
          <w:rFonts w:ascii="Times New Roman" w:hAnsi="Times New Roman"/>
          <w:sz w:val="24"/>
          <w:szCs w:val="24"/>
        </w:rPr>
        <w:t xml:space="preserve">cleared </w:t>
      </w:r>
      <w:proofErr w:type="spellStart"/>
      <w:r w:rsidR="004424F5" w:rsidRPr="007E40FA">
        <w:rPr>
          <w:rFonts w:ascii="Times New Roman" w:hAnsi="Times New Roman"/>
          <w:sz w:val="24"/>
          <w:szCs w:val="24"/>
        </w:rPr>
        <w:t>CellSearch</w:t>
      </w:r>
      <w:proofErr w:type="spellEnd"/>
      <w:r w:rsidR="004424F5" w:rsidRPr="007E40FA">
        <w:rPr>
          <w:rFonts w:ascii="Times New Roman" w:hAnsi="Times New Roman"/>
          <w:sz w:val="24"/>
          <w:szCs w:val="24"/>
        </w:rPr>
        <w:t xml:space="preserve"> system</w:t>
      </w:r>
      <w:r w:rsidR="004C0272" w:rsidRPr="007E40FA">
        <w:rPr>
          <w:rFonts w:ascii="Times New Roman" w:hAnsi="Times New Roman"/>
          <w:sz w:val="24"/>
          <w:szCs w:val="24"/>
        </w:rPr>
        <w:t xml:space="preserve"> (CSS)</w:t>
      </w:r>
      <w:r w:rsidR="004424F5" w:rsidRPr="007E40FA">
        <w:rPr>
          <w:rFonts w:ascii="Times New Roman" w:hAnsi="Times New Roman"/>
          <w:sz w:val="24"/>
          <w:szCs w:val="24"/>
        </w:rPr>
        <w:t>.</w:t>
      </w:r>
      <w:r w:rsidRPr="007E40FA">
        <w:rPr>
          <w:rFonts w:ascii="Times New Roman" w:hAnsi="Times New Roman"/>
          <w:sz w:val="24"/>
          <w:szCs w:val="24"/>
        </w:rPr>
        <w:t xml:space="preserve"> </w:t>
      </w:r>
      <w:r w:rsidR="004424F5" w:rsidRPr="007E40FA">
        <w:rPr>
          <w:rFonts w:ascii="Times New Roman" w:hAnsi="Times New Roman"/>
          <w:sz w:val="24"/>
          <w:szCs w:val="24"/>
        </w:rPr>
        <w:t>This manuscript outlines the standard protocol utilized by this p</w:t>
      </w:r>
      <w:r w:rsidR="00BC43B2" w:rsidRPr="007E40FA">
        <w:rPr>
          <w:rFonts w:ascii="Times New Roman" w:hAnsi="Times New Roman"/>
          <w:sz w:val="24"/>
          <w:szCs w:val="24"/>
        </w:rPr>
        <w:t xml:space="preserve">latform as well as 2 </w:t>
      </w:r>
      <w:r w:rsidR="0090301D" w:rsidRPr="007E40FA">
        <w:rPr>
          <w:rFonts w:ascii="Times New Roman" w:hAnsi="Times New Roman"/>
          <w:sz w:val="24"/>
          <w:szCs w:val="24"/>
        </w:rPr>
        <w:t xml:space="preserve">additional </w:t>
      </w:r>
      <w:r w:rsidR="00BC43B2" w:rsidRPr="007E40FA">
        <w:rPr>
          <w:rFonts w:ascii="Times New Roman" w:hAnsi="Times New Roman"/>
          <w:sz w:val="24"/>
          <w:szCs w:val="24"/>
        </w:rPr>
        <w:t xml:space="preserve">adapted protocols that </w:t>
      </w:r>
      <w:r w:rsidR="00E64FE0" w:rsidRPr="007E40FA">
        <w:rPr>
          <w:rFonts w:ascii="Times New Roman" w:hAnsi="Times New Roman"/>
          <w:sz w:val="24"/>
          <w:szCs w:val="24"/>
        </w:rPr>
        <w:t xml:space="preserve">describe the detailed process of user-defined marker optimization for </w:t>
      </w:r>
      <w:r w:rsidR="0090301D" w:rsidRPr="007E40FA">
        <w:rPr>
          <w:rFonts w:ascii="Times New Roman" w:hAnsi="Times New Roman"/>
          <w:sz w:val="24"/>
          <w:szCs w:val="24"/>
        </w:rPr>
        <w:t>protein</w:t>
      </w:r>
      <w:r w:rsidR="00BC43B2" w:rsidRPr="007E40FA">
        <w:rPr>
          <w:rFonts w:ascii="Times New Roman" w:hAnsi="Times New Roman"/>
          <w:sz w:val="24"/>
          <w:szCs w:val="24"/>
        </w:rPr>
        <w:t xml:space="preserve"> characterization of </w:t>
      </w:r>
      <w:r w:rsidR="00293670" w:rsidRPr="007E40FA">
        <w:rPr>
          <w:rFonts w:ascii="Times New Roman" w:hAnsi="Times New Roman"/>
          <w:sz w:val="24"/>
          <w:szCs w:val="24"/>
        </w:rPr>
        <w:t xml:space="preserve">patient </w:t>
      </w:r>
      <w:r w:rsidR="00BC43B2" w:rsidRPr="007E40FA">
        <w:rPr>
          <w:rFonts w:ascii="Times New Roman" w:hAnsi="Times New Roman"/>
          <w:sz w:val="24"/>
          <w:szCs w:val="24"/>
        </w:rPr>
        <w:t>CTCs</w:t>
      </w:r>
      <w:r w:rsidR="00E64FE0" w:rsidRPr="007E40FA">
        <w:rPr>
          <w:rFonts w:ascii="Times New Roman" w:hAnsi="Times New Roman"/>
          <w:sz w:val="24"/>
          <w:szCs w:val="24"/>
        </w:rPr>
        <w:t xml:space="preserve"> </w:t>
      </w:r>
      <w:r w:rsidR="00BC43B2" w:rsidRPr="007E40FA">
        <w:rPr>
          <w:rFonts w:ascii="Times New Roman" w:hAnsi="Times New Roman"/>
          <w:sz w:val="24"/>
          <w:szCs w:val="24"/>
        </w:rPr>
        <w:t>and a comparable protocol for CTC capture</w:t>
      </w:r>
      <w:r w:rsidR="0090301D" w:rsidRPr="007E40FA">
        <w:rPr>
          <w:rFonts w:ascii="Times New Roman" w:hAnsi="Times New Roman"/>
          <w:sz w:val="24"/>
          <w:szCs w:val="24"/>
        </w:rPr>
        <w:t xml:space="preserve"> in very low volumes of blood, using standard </w:t>
      </w:r>
      <w:r w:rsidR="004C0272" w:rsidRPr="007E40FA">
        <w:rPr>
          <w:rFonts w:ascii="Times New Roman" w:hAnsi="Times New Roman"/>
          <w:sz w:val="24"/>
          <w:szCs w:val="24"/>
        </w:rPr>
        <w:t xml:space="preserve">CSS </w:t>
      </w:r>
      <w:r w:rsidR="0090301D" w:rsidRPr="007E40FA">
        <w:rPr>
          <w:rFonts w:ascii="Times New Roman" w:hAnsi="Times New Roman"/>
          <w:sz w:val="24"/>
          <w:szCs w:val="24"/>
        </w:rPr>
        <w:t>reagents,</w:t>
      </w:r>
      <w:r w:rsidR="00BC43B2" w:rsidRPr="007E40FA">
        <w:rPr>
          <w:rFonts w:ascii="Times New Roman" w:hAnsi="Times New Roman"/>
          <w:sz w:val="24"/>
          <w:szCs w:val="24"/>
        </w:rPr>
        <w:t xml:space="preserve"> </w:t>
      </w:r>
      <w:r w:rsidR="0090301D" w:rsidRPr="007E40FA">
        <w:rPr>
          <w:rFonts w:ascii="Times New Roman" w:hAnsi="Times New Roman"/>
          <w:sz w:val="24"/>
          <w:szCs w:val="24"/>
        </w:rPr>
        <w:t>for studying</w:t>
      </w:r>
      <w:r w:rsidR="00BC43B2" w:rsidRPr="007E40FA">
        <w:rPr>
          <w:rFonts w:ascii="Times New Roman" w:hAnsi="Times New Roman"/>
          <w:sz w:val="24"/>
          <w:szCs w:val="24"/>
        </w:rPr>
        <w:t xml:space="preserve"> </w:t>
      </w:r>
      <w:r w:rsidR="00BC43B2" w:rsidRPr="007E40FA">
        <w:rPr>
          <w:rFonts w:ascii="Times New Roman" w:hAnsi="Times New Roman"/>
          <w:i/>
          <w:sz w:val="24"/>
          <w:szCs w:val="24"/>
        </w:rPr>
        <w:t>in vivo</w:t>
      </w:r>
      <w:r w:rsidR="00BC43B2" w:rsidRPr="007E40FA">
        <w:rPr>
          <w:rFonts w:ascii="Times New Roman" w:hAnsi="Times New Roman"/>
          <w:sz w:val="24"/>
          <w:szCs w:val="24"/>
        </w:rPr>
        <w:t xml:space="preserve"> </w:t>
      </w:r>
      <w:r w:rsidR="00293670" w:rsidRPr="007E40FA">
        <w:rPr>
          <w:rFonts w:ascii="Times New Roman" w:hAnsi="Times New Roman"/>
          <w:sz w:val="24"/>
          <w:szCs w:val="24"/>
        </w:rPr>
        <w:t xml:space="preserve">pre-clinical </w:t>
      </w:r>
      <w:r w:rsidR="00BC43B2" w:rsidRPr="007E40FA">
        <w:rPr>
          <w:rFonts w:ascii="Times New Roman" w:hAnsi="Times New Roman"/>
          <w:sz w:val="24"/>
          <w:szCs w:val="24"/>
        </w:rPr>
        <w:t>mouse model</w:t>
      </w:r>
      <w:r w:rsidR="00293670" w:rsidRPr="007E40FA">
        <w:rPr>
          <w:rFonts w:ascii="Times New Roman" w:hAnsi="Times New Roman"/>
          <w:sz w:val="24"/>
          <w:szCs w:val="24"/>
        </w:rPr>
        <w:t>s</w:t>
      </w:r>
      <w:r w:rsidR="00BC43B2" w:rsidRPr="007E40FA">
        <w:rPr>
          <w:rFonts w:ascii="Times New Roman" w:hAnsi="Times New Roman"/>
          <w:sz w:val="24"/>
          <w:szCs w:val="24"/>
        </w:rPr>
        <w:t xml:space="preserve"> of metastasis. In addition, </w:t>
      </w:r>
      <w:r w:rsidR="004424F5" w:rsidRPr="007E40FA">
        <w:rPr>
          <w:rFonts w:ascii="Times New Roman" w:hAnsi="Times New Roman"/>
          <w:sz w:val="24"/>
          <w:szCs w:val="24"/>
        </w:rPr>
        <w:t>differences in CTC quality</w:t>
      </w:r>
      <w:r w:rsidR="00074403" w:rsidRPr="007E40FA">
        <w:rPr>
          <w:rFonts w:ascii="Times New Roman" w:hAnsi="Times New Roman"/>
          <w:sz w:val="24"/>
          <w:szCs w:val="24"/>
        </w:rPr>
        <w:t xml:space="preserve"> between healthy donor </w:t>
      </w:r>
      <w:proofErr w:type="gramStart"/>
      <w:r w:rsidR="00074403" w:rsidRPr="007E40FA">
        <w:rPr>
          <w:rFonts w:ascii="Times New Roman" w:hAnsi="Times New Roman"/>
          <w:sz w:val="24"/>
          <w:szCs w:val="24"/>
        </w:rPr>
        <w:t>blood</w:t>
      </w:r>
      <w:proofErr w:type="gramEnd"/>
      <w:r w:rsidR="00074403" w:rsidRPr="007E40FA">
        <w:rPr>
          <w:rFonts w:ascii="Times New Roman" w:hAnsi="Times New Roman"/>
          <w:sz w:val="24"/>
          <w:szCs w:val="24"/>
        </w:rPr>
        <w:t xml:space="preserve"> spiked with cells from tissue culture versus patient blood samples</w:t>
      </w:r>
      <w:r w:rsidR="004424F5" w:rsidRPr="007E40FA">
        <w:rPr>
          <w:rFonts w:ascii="Times New Roman" w:hAnsi="Times New Roman"/>
          <w:sz w:val="24"/>
          <w:szCs w:val="24"/>
        </w:rPr>
        <w:t xml:space="preserve"> </w:t>
      </w:r>
      <w:r w:rsidR="00074403" w:rsidRPr="007E40FA">
        <w:rPr>
          <w:rFonts w:ascii="Times New Roman" w:hAnsi="Times New Roman"/>
          <w:sz w:val="24"/>
          <w:szCs w:val="24"/>
        </w:rPr>
        <w:t>are highlighted</w:t>
      </w:r>
      <w:r w:rsidR="0090301D" w:rsidRPr="007E40FA">
        <w:rPr>
          <w:rFonts w:ascii="Times New Roman" w:hAnsi="Times New Roman"/>
          <w:sz w:val="24"/>
          <w:szCs w:val="24"/>
        </w:rPr>
        <w:t>. Finally</w:t>
      </w:r>
      <w:r w:rsidR="00293670" w:rsidRPr="007E40FA">
        <w:rPr>
          <w:rFonts w:ascii="Times New Roman" w:hAnsi="Times New Roman"/>
          <w:sz w:val="24"/>
          <w:szCs w:val="24"/>
        </w:rPr>
        <w:t xml:space="preserve">, </w:t>
      </w:r>
      <w:r w:rsidR="00074403" w:rsidRPr="007E40FA">
        <w:rPr>
          <w:rFonts w:ascii="Times New Roman" w:hAnsi="Times New Roman"/>
          <w:sz w:val="24"/>
          <w:szCs w:val="24"/>
        </w:rPr>
        <w:t>several</w:t>
      </w:r>
      <w:r w:rsidR="004424F5" w:rsidRPr="007E40FA">
        <w:rPr>
          <w:rFonts w:ascii="Times New Roman" w:hAnsi="Times New Roman"/>
          <w:sz w:val="24"/>
          <w:szCs w:val="24"/>
        </w:rPr>
        <w:t xml:space="preserve"> commonly discrepant items that can lead to CTC misclassification errors</w:t>
      </w:r>
      <w:r w:rsidR="00074403" w:rsidRPr="007E40FA">
        <w:rPr>
          <w:rFonts w:ascii="Times New Roman" w:hAnsi="Times New Roman"/>
          <w:sz w:val="24"/>
          <w:szCs w:val="24"/>
        </w:rPr>
        <w:t xml:space="preserve"> are outlined</w:t>
      </w:r>
      <w:r w:rsidR="004424F5" w:rsidRPr="007E40FA">
        <w:rPr>
          <w:rFonts w:ascii="Times New Roman" w:hAnsi="Times New Roman"/>
          <w:sz w:val="24"/>
          <w:szCs w:val="24"/>
        </w:rPr>
        <w:t xml:space="preserve">. </w:t>
      </w:r>
      <w:r w:rsidR="0020665C" w:rsidRPr="007E40FA">
        <w:rPr>
          <w:rFonts w:ascii="Times New Roman" w:hAnsi="Times New Roman"/>
          <w:sz w:val="24"/>
          <w:szCs w:val="24"/>
        </w:rPr>
        <w:t>Taken together, these protocols</w:t>
      </w:r>
      <w:r w:rsidR="00EE38E7" w:rsidRPr="007E40FA">
        <w:rPr>
          <w:rFonts w:ascii="Times New Roman" w:hAnsi="Times New Roman"/>
          <w:sz w:val="24"/>
          <w:szCs w:val="24"/>
        </w:rPr>
        <w:t xml:space="preserve"> will provide a useful resource for users of this platform interested in pre-clinical and clinical research</w:t>
      </w:r>
      <w:r w:rsidR="00DB4844" w:rsidRPr="007E40FA">
        <w:rPr>
          <w:rFonts w:ascii="Times New Roman" w:hAnsi="Times New Roman"/>
          <w:sz w:val="24"/>
          <w:szCs w:val="24"/>
        </w:rPr>
        <w:t xml:space="preserve"> pertaining to </w:t>
      </w:r>
      <w:r w:rsidR="00EE38E7" w:rsidRPr="007E40FA">
        <w:rPr>
          <w:rFonts w:ascii="Times New Roman" w:hAnsi="Times New Roman"/>
          <w:sz w:val="24"/>
          <w:szCs w:val="24"/>
        </w:rPr>
        <w:t>metastasis and CTCs.</w:t>
      </w:r>
    </w:p>
    <w:p w:rsidR="000336C0" w:rsidRPr="007E40FA" w:rsidRDefault="000336C0" w:rsidP="00E330A4">
      <w:pPr>
        <w:autoSpaceDE w:val="0"/>
        <w:autoSpaceDN w:val="0"/>
        <w:adjustRightInd w:val="0"/>
        <w:spacing w:after="0" w:line="240" w:lineRule="auto"/>
        <w:jc w:val="both"/>
        <w:rPr>
          <w:rFonts w:ascii="Times New Roman" w:eastAsiaTheme="minorHAnsi" w:hAnsi="Times New Roman"/>
          <w:sz w:val="24"/>
          <w:szCs w:val="24"/>
        </w:rPr>
      </w:pPr>
    </w:p>
    <w:p w:rsidR="00180583" w:rsidRPr="007E40FA" w:rsidRDefault="00180583" w:rsidP="00E330A4">
      <w:pPr>
        <w:spacing w:line="240" w:lineRule="auto"/>
        <w:jc w:val="both"/>
        <w:rPr>
          <w:rFonts w:ascii="Times New Roman" w:hAnsi="Times New Roman"/>
          <w:sz w:val="24"/>
          <w:szCs w:val="24"/>
        </w:rPr>
      </w:pPr>
      <w:r w:rsidRPr="007E40FA">
        <w:rPr>
          <w:rFonts w:ascii="Times New Roman" w:hAnsi="Times New Roman"/>
          <w:sz w:val="24"/>
          <w:szCs w:val="24"/>
        </w:rPr>
        <w:br w:type="page"/>
      </w:r>
    </w:p>
    <w:p w:rsidR="00180583" w:rsidRPr="007E40FA" w:rsidRDefault="00180583" w:rsidP="001F0875">
      <w:pPr>
        <w:autoSpaceDE w:val="0"/>
        <w:autoSpaceDN w:val="0"/>
        <w:adjustRightInd w:val="0"/>
        <w:spacing w:after="0" w:line="240" w:lineRule="auto"/>
        <w:jc w:val="both"/>
        <w:rPr>
          <w:rFonts w:ascii="Times New Roman" w:eastAsiaTheme="minorHAnsi" w:hAnsi="Times New Roman"/>
          <w:i/>
          <w:iCs/>
          <w:sz w:val="24"/>
          <w:szCs w:val="24"/>
        </w:rPr>
      </w:pPr>
      <w:r w:rsidRPr="007E40FA">
        <w:rPr>
          <w:rFonts w:ascii="Times New Roman" w:eastAsiaTheme="minorHAnsi" w:hAnsi="Times New Roman"/>
          <w:b/>
          <w:bCs/>
          <w:sz w:val="24"/>
          <w:szCs w:val="24"/>
        </w:rPr>
        <w:lastRenderedPageBreak/>
        <w:t xml:space="preserve">INTRODUCTION: </w:t>
      </w:r>
    </w:p>
    <w:p w:rsidR="00A379BC" w:rsidRPr="007E40FA" w:rsidRDefault="00A379BC" w:rsidP="001F0875">
      <w:pPr>
        <w:spacing w:after="0" w:line="240" w:lineRule="auto"/>
        <w:jc w:val="both"/>
        <w:rPr>
          <w:rFonts w:ascii="Times New Roman" w:hAnsi="Times New Roman"/>
          <w:sz w:val="24"/>
          <w:szCs w:val="24"/>
        </w:rPr>
      </w:pPr>
    </w:p>
    <w:p w:rsidR="003F0506" w:rsidRPr="007E40FA" w:rsidRDefault="00192C0A" w:rsidP="001F0875">
      <w:pPr>
        <w:spacing w:after="0" w:line="240" w:lineRule="auto"/>
        <w:jc w:val="both"/>
        <w:rPr>
          <w:rFonts w:ascii="Times New Roman" w:hAnsi="Times New Roman"/>
          <w:sz w:val="24"/>
          <w:szCs w:val="24"/>
        </w:rPr>
      </w:pPr>
      <w:r w:rsidRPr="007E40FA">
        <w:rPr>
          <w:rFonts w:ascii="Times New Roman" w:hAnsi="Times New Roman"/>
          <w:sz w:val="24"/>
          <w:szCs w:val="24"/>
        </w:rPr>
        <w:t xml:space="preserve">In 2013 it is estimated that </w:t>
      </w:r>
      <w:r w:rsidRPr="007E40FA">
        <w:rPr>
          <w:rFonts w:ascii="Times New Roman" w:hAnsi="Times New Roman"/>
          <w:sz w:val="24"/>
          <w:szCs w:val="24"/>
          <w:shd w:val="clear" w:color="auto" w:fill="FFFFFF"/>
        </w:rPr>
        <w:t>580,350</w:t>
      </w:r>
      <w:r w:rsidRPr="007E40FA">
        <w:rPr>
          <w:rFonts w:ascii="Times New Roman" w:hAnsi="Times New Roman"/>
          <w:sz w:val="24"/>
          <w:szCs w:val="24"/>
        </w:rPr>
        <w:t xml:space="preserve"> individuals will die</w:t>
      </w:r>
      <w:r w:rsidRPr="007E40FA" w:rsidDel="00192C0A">
        <w:rPr>
          <w:rFonts w:ascii="Times New Roman" w:hAnsi="Times New Roman"/>
          <w:sz w:val="24"/>
          <w:szCs w:val="24"/>
        </w:rPr>
        <w:t xml:space="preserve"> </w:t>
      </w:r>
      <w:r w:rsidRPr="007E40FA">
        <w:rPr>
          <w:rFonts w:ascii="Times New Roman" w:hAnsi="Times New Roman"/>
          <w:sz w:val="24"/>
          <w:szCs w:val="24"/>
        </w:rPr>
        <w:t xml:space="preserve">from </w:t>
      </w:r>
      <w:r w:rsidR="0074455B" w:rsidRPr="007E40FA">
        <w:rPr>
          <w:rFonts w:ascii="Times New Roman" w:hAnsi="Times New Roman"/>
          <w:sz w:val="24"/>
          <w:szCs w:val="24"/>
        </w:rPr>
        <w:t>cancer</w:t>
      </w:r>
      <w:r w:rsidRPr="007E40FA">
        <w:rPr>
          <w:rFonts w:ascii="Times New Roman" w:hAnsi="Times New Roman"/>
          <w:sz w:val="24"/>
          <w:szCs w:val="24"/>
        </w:rPr>
        <w:t xml:space="preserve"> and that </w:t>
      </w:r>
      <w:r w:rsidR="003F0506" w:rsidRPr="007E40FA">
        <w:rPr>
          <w:rFonts w:ascii="Times New Roman" w:hAnsi="Times New Roman"/>
          <w:sz w:val="24"/>
          <w:szCs w:val="24"/>
          <w:shd w:val="clear" w:color="auto" w:fill="FFFFFF"/>
        </w:rPr>
        <w:t>1,660,290</w:t>
      </w:r>
      <w:r w:rsidR="003F0506" w:rsidRPr="007E40FA">
        <w:rPr>
          <w:rFonts w:ascii="Times New Roman" w:hAnsi="Times New Roman"/>
          <w:sz w:val="24"/>
          <w:szCs w:val="24"/>
        </w:rPr>
        <w:t xml:space="preserve"> new cases of </w:t>
      </w:r>
      <w:r w:rsidR="0074455B" w:rsidRPr="007E40FA">
        <w:rPr>
          <w:rFonts w:ascii="Times New Roman" w:hAnsi="Times New Roman"/>
          <w:sz w:val="24"/>
          <w:szCs w:val="24"/>
        </w:rPr>
        <w:t xml:space="preserve">this disease </w:t>
      </w:r>
      <w:r w:rsidR="003F0506" w:rsidRPr="007E40FA">
        <w:rPr>
          <w:rFonts w:ascii="Times New Roman" w:hAnsi="Times New Roman"/>
          <w:sz w:val="24"/>
          <w:szCs w:val="24"/>
        </w:rPr>
        <w:t>will be diagnosed in the United States</w:t>
      </w:r>
      <w:r w:rsidRPr="007E40FA">
        <w:rPr>
          <w:rFonts w:ascii="Times New Roman" w:hAnsi="Times New Roman"/>
          <w:sz w:val="24"/>
          <w:szCs w:val="24"/>
        </w:rPr>
        <w:t xml:space="preserve"> alone</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"10.3322/caac.21166", "ISSN" : "1542-4863", "PMID" : "23335087", "abstract" : "Each year, the American Cancer Society estimates the numbers of new cancer cases and deaths expected in the United States in the current year and compiles the most recent data on cancer incidence, mortality, and survival based on incidence data from the National Cancer Institute, the Centers for Disease Control and Prevention, and the North American Association of Central Cancer Registries and mortality data from the National Center for Health Statistics. A total of 1,660,290 new cancer cases and 580,350 cancer deaths are projected to occur in the United States in 2013. During the most recent 5 years for which there are data (2005-2009), delay-adjusted cancer incidence rates declined slightly in men (by 0.6% per year) and were stable in women, while cancer death rates decreased by 1.8% per year in men and by 1.5% per year in women. Overall, cancer death rates have declined 20% from their peak in 1991 (215.1 per 100,000 population) to 2009 (173.1 per 100,000 population). Death rates continue to decline for all 4 major cancer sites (lung, colorectum, breast, and prostate). Over the past 10 years of data (2000-2009), the largest annual declines in death rates were for chronic myeloid leukemia (8.4%), cancers of the stomach (3.1%) and colorectum (3.0%), and non-Hodgkin lymphoma (3.0%). The reduction in overall cancer death rates since 1990 in men and 1991 in women translates to the avoidance of approximately 1.18 million deaths from cancer, with 152,900 of these deaths averted in 2009 alone. Further progress can be accelerated by applying existing cancer control knowledge across all segments of the population, with an emphasis on those groups in the lowest socioeconomic bracket and other underserved populations.", "author" : [ { "dropping-particle" : "", "family" : "Siegel", "given" : "Rebecca", "non-dropping-particle" : "", "parse-names" : false, "suffix" : "" }, { "dropping-particle" : "", "family" : "Naishadham", "given" : "Deepa", "non-dropping-particle" : "", "parse-names" : false, "suffix" : "" }, { "dropping-particle" : "", "family" : "Jemal", "given" : "Ahmedin", "non-dropping-particle" : "", "parse-names" : false, "suffix" : "" } ], "container-title" : "CA: a cancer journal for clinicians", "id" : "ITEM-1", "issue" : "1", "issued" : { "date-parts" : [ [ "2013", "1" ] ] }, "page" : "11-30", "title" : "Cancer statistics, 2013.", "type" : "article-journal", "volume" : "63" }, "uris" : [ "http://www.mendeley.com/documents/?uuid=9e0d8c4a-30f3-4ee9-b4c3-eb0f4f8ef3ab" ] } ], "mendeley" : { "previouslyFormattedCitation" : "&lt;sup&gt;1&lt;/sup&gt;"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w:t>
      </w:r>
      <w:r w:rsidR="0036708D" w:rsidRPr="007E40FA">
        <w:rPr>
          <w:rFonts w:ascii="Times New Roman" w:hAnsi="Times New Roman"/>
          <w:sz w:val="24"/>
          <w:szCs w:val="24"/>
        </w:rPr>
        <w:fldChar w:fldCharType="end"/>
      </w:r>
      <w:r w:rsidR="003F0506" w:rsidRPr="007E40FA">
        <w:rPr>
          <w:rFonts w:ascii="Times New Roman" w:hAnsi="Times New Roman"/>
          <w:sz w:val="24"/>
          <w:szCs w:val="24"/>
        </w:rPr>
        <w:t xml:space="preserve">. The majority of these deaths </w:t>
      </w:r>
      <w:r w:rsidR="00052FD7" w:rsidRPr="007E40FA">
        <w:rPr>
          <w:rFonts w:ascii="Times New Roman" w:hAnsi="Times New Roman"/>
          <w:sz w:val="24"/>
          <w:szCs w:val="24"/>
        </w:rPr>
        <w:t>occur</w:t>
      </w:r>
      <w:r w:rsidR="00E64CE6" w:rsidRPr="007E40FA">
        <w:rPr>
          <w:rFonts w:ascii="Times New Roman" w:hAnsi="Times New Roman"/>
          <w:sz w:val="24"/>
          <w:szCs w:val="24"/>
        </w:rPr>
        <w:t xml:space="preserve"> subsequent to </w:t>
      </w:r>
      <w:r w:rsidR="00DA2034" w:rsidRPr="007E40FA">
        <w:rPr>
          <w:rFonts w:ascii="Times New Roman" w:hAnsi="Times New Roman"/>
          <w:sz w:val="24"/>
          <w:szCs w:val="24"/>
        </w:rPr>
        <w:t>the development of metastatic disease</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"1474-175X", "PMID" : "12154349", "abstract" : "Metastases, rather than primary tumours, are responsible for most cancer deaths. To prevent these deaths, improved ways to treat metastatic disease are needed. Blood flow and other mechanical factors influence the delivery of cancer cells to specific organs, whereas molecular interactions between the cancer cells and the new organ influence the probability that the cells will grow there. Inhibition of the growth of metastases in secondary sites offers a promising approach for cancer therapy.", "author" : [ { "dropping-particle" : "", "family" : "Chambers", "given" : "Ann F", "non-dropping-particle" : "", "parse-names" : false, "suffix" : "" }, { "dropping-particle" : "", "family" : "Groom", "given" : "Alan C", "non-dropping-particle" : "", "parse-names" : false, "suffix" : "" }, { "dropping-particle" : "", "family" : "MacDonald", "given" : "Ian C", "non-dropping-particle" : "", "parse-names" : false, "suffix" : "" } ], "container-title" : "Nature reviews. Cancer", "id" : "ITEM-1", "issue" : "8", "issued" : { "date-parts" : [ [ "2002", "8" ] ] }, "page" : "563-72", "title" : "Dissemination and growth of cancer cells in metastatic sites.", "type" : "article-journal", "volume" : "2" }, "uris" : [ "http://www.mendeley.com/documents/?uuid=a98f91d8-8177-428c-917c-4591ee6319e6" ] } ], "mendeley" : { "previouslyFormattedCitation" : "&lt;sup&gt;2&lt;/sup&gt;"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2</w:t>
      </w:r>
      <w:r w:rsidR="0036708D" w:rsidRPr="007E40FA">
        <w:rPr>
          <w:rFonts w:ascii="Times New Roman" w:hAnsi="Times New Roman"/>
          <w:sz w:val="24"/>
          <w:szCs w:val="24"/>
        </w:rPr>
        <w:fldChar w:fldCharType="end"/>
      </w:r>
      <w:r w:rsidR="003F0506" w:rsidRPr="007E40FA">
        <w:rPr>
          <w:rFonts w:ascii="Times New Roman" w:hAnsi="Times New Roman"/>
          <w:sz w:val="24"/>
          <w:szCs w:val="24"/>
        </w:rPr>
        <w:t xml:space="preserve">. </w:t>
      </w:r>
      <w:r w:rsidR="00E64CE6" w:rsidRPr="007E40FA">
        <w:rPr>
          <w:rFonts w:ascii="Times New Roman" w:hAnsi="Times New Roman"/>
          <w:sz w:val="24"/>
          <w:szCs w:val="24"/>
        </w:rPr>
        <w:t>The current lack of effective therapies in treating metas</w:t>
      </w:r>
      <w:r w:rsidR="00A379BC" w:rsidRPr="007E40FA">
        <w:rPr>
          <w:rFonts w:ascii="Times New Roman" w:hAnsi="Times New Roman"/>
          <w:sz w:val="24"/>
          <w:szCs w:val="24"/>
        </w:rPr>
        <w:t>tases</w:t>
      </w:r>
      <w:r w:rsidR="00E64CE6" w:rsidRPr="007E40FA">
        <w:rPr>
          <w:rFonts w:ascii="Times New Roman" w:hAnsi="Times New Roman"/>
          <w:sz w:val="24"/>
          <w:szCs w:val="24"/>
        </w:rPr>
        <w:t xml:space="preserve"> and a limited understanding of the metastatic cascade makes this stage of disease highly lethal</w:t>
      </w:r>
      <w:r w:rsidR="00C76CB8" w:rsidRPr="007E40FA">
        <w:fldChar w:fldCharType="begin"/>
      </w:r>
      <w:r w:rsidR="00C76CB8" w:rsidRPr="007E40FA">
        <w:fldChar w:fldCharType="separate"/>
      </w:r>
      <w:r w:rsidR="00E64CE6" w:rsidRPr="007E40FA">
        <w:rPr>
          <w:rFonts w:ascii="Times New Roman" w:hAnsi="Times New Roman"/>
          <w:noProof/>
          <w:sz w:val="24"/>
          <w:szCs w:val="24"/>
        </w:rPr>
        <w:t>{Formatting Citation}</w:t>
      </w:r>
      <w:r w:rsidR="00C76CB8" w:rsidRPr="007E40FA">
        <w:rPr>
          <w:rFonts w:ascii="Times New Roman" w:hAnsi="Times New Roman"/>
          <w:noProof/>
          <w:sz w:val="24"/>
          <w:szCs w:val="24"/>
        </w:rPr>
        <w:fldChar w:fldCharType="end"/>
      </w:r>
      <w:r w:rsidR="00E64CE6" w:rsidRPr="007E40FA">
        <w:rPr>
          <w:rFonts w:ascii="Times New Roman" w:hAnsi="Times New Roman"/>
          <w:sz w:val="24"/>
          <w:szCs w:val="24"/>
        </w:rPr>
        <w:t xml:space="preserve">. </w:t>
      </w:r>
      <w:r w:rsidRPr="007E40FA">
        <w:rPr>
          <w:rFonts w:ascii="Times New Roman" w:hAnsi="Times New Roman"/>
          <w:sz w:val="24"/>
          <w:szCs w:val="24"/>
        </w:rPr>
        <w:t>The presence of circulating tumor cells (CTCs) within the bloodstream have been demonstrated to correlate with m</w:t>
      </w:r>
      <w:r w:rsidR="003F0506" w:rsidRPr="007E40FA">
        <w:rPr>
          <w:rFonts w:ascii="Times New Roman" w:hAnsi="Times New Roman"/>
          <w:sz w:val="24"/>
          <w:szCs w:val="24"/>
        </w:rPr>
        <w:t>etastatic disease</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"10.1038/nrc1370", "ISSN" : "1474-175X", "PMID" : "15170447", "author" : [ { "dropping-particle" : "", "family" : "Pantel", "given" : "Klaus", "non-dropping-particle" : "", "parse-names" : false, "suffix" : "" }, { "dropping-particle" : "", "family" : "Brakenhoff", "given" : "Ruud H", "non-dropping-particle" : "", "parse-names" : false, "suffix" : "" } ], "container-title" : "Nature reviews. Cancer", "id" : "ITEM-1", "issue" : "6", "issued" : { "date-parts" : [ [ "2004", "6" ] ] }, "page" : "448-56", "title" : "Dissecting the metastatic cascade.", "type" : "article-journal", "volume" : "4" }, "uris" : [ "http://www.mendeley.com/documents/?uuid=0b42fc89-2df8-4b51-9281-4d30968ac634" ] } ], "mendeley" : { "previouslyFormattedCitation" : "&lt;sup&gt;3&lt;/sup&gt;"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3</w:t>
      </w:r>
      <w:r w:rsidR="0036708D" w:rsidRPr="007E40FA">
        <w:rPr>
          <w:rFonts w:ascii="Times New Roman" w:hAnsi="Times New Roman"/>
          <w:sz w:val="24"/>
          <w:szCs w:val="24"/>
        </w:rPr>
        <w:fldChar w:fldCharType="end"/>
      </w:r>
      <w:r w:rsidR="003F0506" w:rsidRPr="007E40FA">
        <w:rPr>
          <w:rFonts w:ascii="Times New Roman" w:hAnsi="Times New Roman"/>
          <w:sz w:val="24"/>
          <w:szCs w:val="24"/>
        </w:rPr>
        <w:t xml:space="preserve">. </w:t>
      </w:r>
      <w:r w:rsidR="00E530AE" w:rsidRPr="007E40FA">
        <w:rPr>
          <w:rFonts w:ascii="Times New Roman" w:hAnsi="Times New Roman"/>
          <w:sz w:val="24"/>
          <w:szCs w:val="24"/>
        </w:rPr>
        <w:t>These cells are extremely rare and their d</w:t>
      </w:r>
      <w:r w:rsidR="003F0506" w:rsidRPr="007E40FA">
        <w:rPr>
          <w:rFonts w:ascii="Times New Roman" w:hAnsi="Times New Roman"/>
          <w:sz w:val="24"/>
          <w:szCs w:val="24"/>
        </w:rPr>
        <w:t xml:space="preserve">etection </w:t>
      </w:r>
      <w:r w:rsidR="00E530AE" w:rsidRPr="007E40FA">
        <w:rPr>
          <w:rFonts w:ascii="Times New Roman" w:hAnsi="Times New Roman"/>
          <w:sz w:val="24"/>
          <w:szCs w:val="24"/>
        </w:rPr>
        <w:t>is</w:t>
      </w:r>
      <w:r w:rsidR="003F0506" w:rsidRPr="007E40FA">
        <w:rPr>
          <w:rFonts w:ascii="Times New Roman" w:hAnsi="Times New Roman"/>
          <w:sz w:val="24"/>
          <w:szCs w:val="24"/>
        </w:rPr>
        <w:t xml:space="preserve"> </w:t>
      </w:r>
      <w:r w:rsidR="007F3854" w:rsidRPr="007E40FA">
        <w:rPr>
          <w:rFonts w:ascii="Times New Roman" w:hAnsi="Times New Roman"/>
          <w:sz w:val="24"/>
          <w:szCs w:val="24"/>
        </w:rPr>
        <w:t>indicative</w:t>
      </w:r>
      <w:r w:rsidR="003F0506" w:rsidRPr="007E40FA">
        <w:rPr>
          <w:rFonts w:ascii="Times New Roman" w:hAnsi="Times New Roman"/>
          <w:sz w:val="24"/>
          <w:szCs w:val="24"/>
        </w:rPr>
        <w:t xml:space="preserve"> of overall survival in metastatic breast</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"1533-4406", "PMID" : "15317891", "abstract" : "BACKGROUND: We tested the hypothesis that the level of circulating tumor cells can predict survival in metastatic breast cancer. METHODS: In a prospective, multicenter study, we tested 177 patients with measurable metastatic breast cancer for levels of circulating tumor cells both before the patients were to start a new line of treatment and at the first follow-up visit. The progression of the disease or the response to treatment was determined with the use of standard imaging studies at the participating centers. RESULTS: Outcomes were assessed according to levels of circulating tumor cells at baseline, before the patients started a new treatment for metastatic disease. Patients in a training set with levels of circulating tumor cells equal to or higher than 5 per 7.5 ml of whole blood, as compared with the group with fewer than 5 circulating tumor cells per 7.5 ml, had a shorter median progression-free survival (2.7 months vs. 7.0 months, P&lt;0.001) and shorter overall survival (10.1 months vs. &gt;18 months, P&lt;0.001). At the first follow-up visit after the initiation of therapy, this difference between the groups persisted (progression-free survival, 2.1 months vs. 7.0 months; P&lt;0.001; overall survival, 8.2 months vs. &gt;18 months; P&lt;0.001), and the reduced proportion of patients (from 49 percent to 30 percent) in the group with an unfavorable prognosis suggested that there was a benefit from therapy. The multivariate Cox proportional-hazards regression showed that, of all the variables in the statistical model, the levels of circulating tumor cells at baseline and at the first follow-up visit were the most significant predictors of progression-free and overall survival. CONCLUSIONS: The number of circulating tumor cells before treatment is an independent predictor of progression-free survival and overall survival in patients with metastatic breast cancer.", "author" : [ { "dropping-particle" : "", "family" : "Cristofanilli", "given" : "Massimo", "non-dropping-particle" : "", "parse-names" : false, "suffix" : "" }, { "dropping-particle" : "", "family" : "Budd", "given" : "G Thomas", "non-dropping-particle" : "", "parse-names" : false, "suffix" : "" }, { "dropping-particle" : "", "family" : "Ellis", "given" : "Matthew J", "non-dropping-particle" : "", "parse-names" : false, "suffix" : "" }, { "dropping-particle" : "", "family" : "Stopeck", "given" : "Alison", "non-dropping-particle" : "", "parse-names" : false, "suffix" : "" }, { "dropping-particle" : "", "family" : "Matera", "given" : "Jeri", "non-dropping-particle" : "", "parse-names" : false, "suffix" : "" }, { "dropping-particle" : "", "family" : "Miller", "given" : "M Craig", "non-dropping-particle" : "", "parse-names" : false, "suffix" : "" }, { "dropping-particle" : "", "family" : "Reuben", "given" : "James M", "non-dropping-particle" : "", "parse-names" : false, "suffix" : "" }, { "dropping-particle" : "V", "family" : "Doyle", "given" : "Gerald", "non-dropping-particle" : "", "parse-names" : false, "suffix" : "" }, { "dropping-particle" : "", "family" : "Allard", "given" : "W Jeffrey", "non-dropping-particle" : "", "parse-names" : false, "suffix" : "" }, { "dropping-particle" : "", "family" : "Terstappen", "given" : "Leon W M M", "non-dropping-particle" : "", "parse-names" : false, "suffix" : "" }, { "dropping-particle" : "", "family" : "Hayes", "given" : "Daniel F", "non-dropping-particle" : "", "parse-names" : false, "suffix" : "" } ], "container-title" : "The New England journal of medicine", "id" : "ITEM-1", "issue" : "8", "issued" : { "date-parts" : [ [ "2004", "8" ] ] }, "page" : "781-91", "title" : "Circulating tumor cells, disease progression, and survival in metastatic breast cancer.", "type" : "article-journal", "volume" : "351" }, "uris" : [ "http://www.mendeley.com/documents/?uuid=f0f96870-40c2-4219-af60-a26756fec374" ] } ], "mendeley" : { "previouslyFormattedCitation" : "&lt;sup&gt;4&lt;/sup&gt;"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4</w:t>
      </w:r>
      <w:r w:rsidR="0036708D" w:rsidRPr="007E40FA">
        <w:rPr>
          <w:rFonts w:ascii="Times New Roman" w:hAnsi="Times New Roman"/>
          <w:sz w:val="24"/>
          <w:szCs w:val="24"/>
        </w:rPr>
        <w:fldChar w:fldCharType="end"/>
      </w:r>
      <w:r w:rsidR="00C76CB8" w:rsidRPr="007E40FA">
        <w:fldChar w:fldCharType="begin"/>
      </w:r>
      <w:r w:rsidR="00C76CB8" w:rsidRPr="007E40FA">
        <w:fldChar w:fldCharType="separate"/>
      </w:r>
      <w:r w:rsidR="003F0506" w:rsidRPr="007E40FA">
        <w:rPr>
          <w:rFonts w:ascii="Times New Roman" w:hAnsi="Times New Roman"/>
          <w:noProof/>
          <w:sz w:val="24"/>
          <w:szCs w:val="24"/>
        </w:rPr>
        <w:t>{Formatting Citation}</w:t>
      </w:r>
      <w:r w:rsidR="00C76CB8" w:rsidRPr="007E40FA">
        <w:rPr>
          <w:rFonts w:ascii="Times New Roman" w:hAnsi="Times New Roman"/>
          <w:noProof/>
          <w:sz w:val="24"/>
          <w:szCs w:val="24"/>
        </w:rPr>
        <w:fldChar w:fldCharType="end"/>
      </w:r>
      <w:r w:rsidR="003F0506" w:rsidRPr="007E40FA">
        <w:rPr>
          <w:rFonts w:ascii="Times New Roman" w:hAnsi="Times New Roman"/>
          <w:sz w:val="24"/>
          <w:szCs w:val="24"/>
        </w:rPr>
        <w:t>, prostate</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"10.1158/1078-0432.CCR-08-0872", "ISSN" : "1078-0432", "PMID" : "18829513", "abstract" : "A method for enumerating circulating tumor cells (CTC) has received regulatory clearance. The primary objective of this prospective study was to establish the relationship between posttreatment CTC count and overall survival (OS) in castration-resistant prostate cancer (CRPC). Secondary objectives included determining the prognostic utility of CTC measurement before initiating therapy, and the relationship of CTC to prostate-specific antigen (PSA) changes and OS at these and other time points.", "author" : [ { "dropping-particle" : "", "family" : "Bono", "given" : "Johann S", "non-dropping-particle" : "de", "parse-names" : false, "suffix" : "" }, { "dropping-particle" : "", "family" : "Scher", "given" : "Howard I", "non-dropping-particle" : "", "parse-names" : false, "suffix" : "" }, { "dropping-particle" : "", "family" : "Montgomery", "given" : "R Bruce", "non-dropping-particle" : "", "parse-names" : false, "suffix" : "" }, { "dropping-particle" : "", "family" : "Parker", "given" : "Christopher", "non-dropping-particle" : "", "parse-names" : false, "suffix" : "" }, { "dropping-particle" : "", "family" : "Miller", "given" : "M Craig", "non-dropping-particle" : "", "parse-names" : false, "suffix" : "" }, { "dropping-particle" : "", "family" : "Tissing", "given" : "Henk", "non-dropping-particle" : "", "parse-names" : false, "suffix" : "" }, { "dropping-particle" : "V", "family" : "Doyle", "given" : "Gerald", "non-dropping-particle" : "", "parse-names" : false, "suffix" : "" }, { "dropping-particle" : "", "family" : "Terstappen", "given" : "Leon W W M", "non-dropping-particle" : "", "parse-names" : false, "suffix" : "" }, { "dropping-particle" : "", "family" : "Pienta", "given" : "Kenneth J", "non-dropping-particle" : "", "parse-names" : false, "suffix" : "" }, { "dropping-particle" : "", "family" : "Raghavan", "given" : "Derek", "non-dropping-particle" : "", "parse-names" : false, "suffix" : "" } ], "container-title" : "Clinical cancer research : an official journal of the American Association for Cancer Research", "id" : "ITEM-1", "issue" : "19", "issued" : { "date-parts" : [ [ "2008", "10", "1" ] ] }, "page" : "6302-9", "title" : "Circulating tumor cells predict survival benefit from treatment in metastatic castration-resistant prostate cancer.", "type" : "article-journal", "volume" : "14" }, "uris" : [ "http://www.mendeley.com/documents/?uuid=3e8de426-4d01-4af7-9b65-80421d93c3a4" ] } ], "mendeley" : { "previouslyFormattedCitation" : "&lt;sup&gt;5&lt;/sup&gt;"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5</w:t>
      </w:r>
      <w:r w:rsidR="0036708D" w:rsidRPr="007E40FA">
        <w:rPr>
          <w:rFonts w:ascii="Times New Roman" w:hAnsi="Times New Roman"/>
          <w:sz w:val="24"/>
          <w:szCs w:val="24"/>
        </w:rPr>
        <w:fldChar w:fldCharType="end"/>
      </w:r>
      <w:r w:rsidR="00C76CB8" w:rsidRPr="007E40FA">
        <w:fldChar w:fldCharType="begin"/>
      </w:r>
      <w:r w:rsidR="00C76CB8" w:rsidRPr="007E40FA">
        <w:fldChar w:fldCharType="separate"/>
      </w:r>
      <w:r w:rsidR="003F0506" w:rsidRPr="007E40FA">
        <w:rPr>
          <w:rFonts w:ascii="Times New Roman" w:hAnsi="Times New Roman"/>
          <w:noProof/>
          <w:sz w:val="24"/>
          <w:szCs w:val="24"/>
        </w:rPr>
        <w:t>(</w:t>
      </w:r>
      <w:hyperlink w:anchor="_ENREF_5" w:tooltip="de Bono, 2008 #245" w:history="1">
        <w:r w:rsidR="003F0506" w:rsidRPr="007E40FA">
          <w:rPr>
            <w:rFonts w:ascii="Times New Roman" w:hAnsi="Times New Roman"/>
            <w:noProof/>
            <w:sz w:val="24"/>
            <w:szCs w:val="24"/>
          </w:rPr>
          <w:t>5</w:t>
        </w:r>
      </w:hyperlink>
      <w:r w:rsidR="003F0506" w:rsidRPr="007E40FA">
        <w:rPr>
          <w:rFonts w:ascii="Times New Roman" w:hAnsi="Times New Roman"/>
          <w:noProof/>
          <w:sz w:val="24"/>
          <w:szCs w:val="24"/>
        </w:rPr>
        <w:t>)</w:t>
      </w:r>
      <w:r w:rsidR="00C76CB8" w:rsidRPr="007E40FA">
        <w:rPr>
          <w:rFonts w:ascii="Times New Roman" w:hAnsi="Times New Roman"/>
          <w:noProof/>
          <w:sz w:val="24"/>
          <w:szCs w:val="24"/>
        </w:rPr>
        <w:fldChar w:fldCharType="end"/>
      </w:r>
      <w:r w:rsidR="003F0506" w:rsidRPr="007E40FA">
        <w:rPr>
          <w:rFonts w:ascii="Times New Roman" w:hAnsi="Times New Roman"/>
          <w:sz w:val="24"/>
          <w:szCs w:val="24"/>
        </w:rPr>
        <w:t>, and colorectal</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"10.1093/annonc/mdn786", "ISSN" : "1569-8041", "PMID" : "19282466", "abstract" : "BACKGROUND: We demonstrated that circulating tumor cell (CTC) number at baseline and follow-up is an independent prognostic factor in metastatic colorectal cancer (mCRC). This analysis was undertaken to explore whether patient and treatment characteristics impact the prognostic value of CTCs. PATIENTS AND METHODS: CTCs were enumerated with immunomagnetic separation from the blood of 430 patients with mCRC at baseline and on therapy. Patients were stratified into unfavorable and favorable prognostic groups based on CTC levels of &gt; or = 3 or &lt;3 CTCs/7.5 ml, respectively. Subgroups were analyzed by line of treatment, liver involvement, receipt of oxaliplatin, irinotecan, or bevacizumab, age, and Eastern Cooperative Oncology Group performance status (ECOG PS). RESULTS: Seventy-one percent of deaths have occurred. Median follow-up for living patients is 25.8 months. For all patients, progression-free survival (PFS) and overall survival (OS) for unfavorable compared with favorable baseline CTCs is shorter (4.4 versus 7.8 m, P = 0.004 for PFS; 9.4 versus 20.6 m, P &lt; 0.0001 for OS). In all patient subgroups, unfavorable baseline CTC was associated with inferior OS (P &lt; 0.001). In patients receiving first- or second-line therapy (P = 0.003), irinotecan (P = 0.0001), having liver involvement (P = 0.002), &gt;/=65 years (P = 0.0007), and ECOG PS of zero (P = 0.04), unfavorable baseline CTC was associated with inferior PFS. CONCLUSION: Baseline CTC count is an important prognostic factor within specific subgroups defined by treatment or patient characteristics.", "author" : [ { "dropping-particle" : "", "family" : "Cohen", "given" : "S J", "non-dropping-particle" : "", "parse-names" : false, "suffix" : "" }, { "dropping-particle" : "", "family" : "Punt", "given" : "C J a", "non-dropping-particle" : "", "parse-names" : false, "suffix" : "" }, { "dropping-particle" : "", "family" : "Iannotti", "given" : "N", "non-dropping-particle" : "", "parse-names" : false, "suffix" : "" }, { "dropping-particle" : "", "family" : "Saidman", "given" : "B H", "non-dropping-particle" : "", "parse-names" : false, "suffix" : "" }, { "dropping-particle" : "", "family" : "Sabbath", "given" : "K D", "non-dropping-particle" : "", "parse-names" : false, "suffix" : "" }, { "dropping-particle" : "", "family" : "Gabrail", "given" : "N Y", "non-dropping-particle" : "", "parse-names" : false, "suffix" : "" }, { "dropping-particle" : "", "family" : "Picus", "given" : "J", "non-dropping-particle" : "", "parse-names" : false, "suffix" : "" }, { "dropping-particle" : "", "family" : "Morse", "given" : "M a", "non-dropping-particle" : "", "parse-names" : false, "suffix" : "" }, { "dropping-particle" : "", "family" : "Mitchell", "given" : "E", "non-dropping-particle" : "", "parse-names" : false, "suffix" : "" }, { "dropping-particle" : "", "family" : "Miller", "given" : "M C", "non-dropping-particle" : "", "parse-names" : false, "suffix" : "" }, { "dropping-particle" : "V", "family" : "Doyle", "given" : "G", "non-dropping-particle" : "", "parse-names" : false, "suffix" : "" }, { "dropping-particle" : "", "family" : "Tissing", "given" : "H", "non-dropping-particle" : "", "parse-names" : false, "suffix" : "" }, { "dropping-particle" : "", "family" : "Terstappen", "given" : "L W M M", "non-dropping-particle" : "", "parse-names" : false, "suffix" : "" }, { "dropping-particle" : "", "family" : "Meropol", "given" : "N J", "non-dropping-particle" : "", "parse-names" : false, "suffix" : "" } ], "container-title" : "Annals of oncology : official journal of the European Society for Medical Oncology / ESMO", "id" : "ITEM-1", "issue" : "7", "issued" : { "date-parts" : [ [ "2009", "7" ] ] }, "page" : "1223-9", "title" : "Prognostic significance of circulating tumor cells in patients with metastatic colorectal cancer.", "type" : "article-journal", "volume" : "20" }, "uris" : [ "http://www.mendeley.com/documents/?uuid=b15dc6ce-cf98-4146-832a-2d1e87856d9e" ] } ], "mendeley" : { "previouslyFormattedCitation" : "&lt;sup&gt;6&lt;/sup&gt;"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6</w:t>
      </w:r>
      <w:r w:rsidR="0036708D" w:rsidRPr="007E40FA">
        <w:rPr>
          <w:rFonts w:ascii="Times New Roman" w:hAnsi="Times New Roman"/>
          <w:sz w:val="24"/>
          <w:szCs w:val="24"/>
        </w:rPr>
        <w:fldChar w:fldCharType="end"/>
      </w:r>
      <w:r w:rsidR="00C76CB8" w:rsidRPr="007E40FA">
        <w:fldChar w:fldCharType="begin"/>
      </w:r>
      <w:r w:rsidR="00C76CB8" w:rsidRPr="007E40FA">
        <w:fldChar w:fldCharType="separate"/>
      </w:r>
      <w:r w:rsidR="003F0506" w:rsidRPr="007E40FA">
        <w:rPr>
          <w:rFonts w:ascii="Times New Roman" w:hAnsi="Times New Roman"/>
          <w:noProof/>
          <w:sz w:val="24"/>
          <w:szCs w:val="24"/>
        </w:rPr>
        <w:t>{Formatting Citation}</w:t>
      </w:r>
      <w:r w:rsidR="00C76CB8" w:rsidRPr="007E40FA">
        <w:rPr>
          <w:rFonts w:ascii="Times New Roman" w:hAnsi="Times New Roman"/>
          <w:noProof/>
          <w:sz w:val="24"/>
          <w:szCs w:val="24"/>
        </w:rPr>
        <w:fldChar w:fldCharType="end"/>
      </w:r>
      <w:r w:rsidR="003F0506" w:rsidRPr="007E40FA">
        <w:rPr>
          <w:rFonts w:ascii="Times New Roman" w:hAnsi="Times New Roman"/>
          <w:sz w:val="24"/>
          <w:szCs w:val="24"/>
        </w:rPr>
        <w:t xml:space="preserve"> cancer</w:t>
      </w:r>
      <w:r w:rsidR="00E530AE" w:rsidRPr="007E40FA">
        <w:rPr>
          <w:rFonts w:ascii="Times New Roman" w:hAnsi="Times New Roman"/>
          <w:sz w:val="24"/>
          <w:szCs w:val="24"/>
        </w:rPr>
        <w:t xml:space="preserve">. In these patients, the presence of </w:t>
      </w:r>
      <w:r w:rsidR="003F0506" w:rsidRPr="007E40FA">
        <w:rPr>
          <w:rFonts w:ascii="Times New Roman" w:hAnsi="Times New Roman"/>
          <w:sz w:val="24"/>
          <w:szCs w:val="24"/>
        </w:rPr>
        <w:t xml:space="preserve"> ≥5 (breast and prostate) or ≥3 (colorectal) CTCs in 7.5ml of blood </w:t>
      </w:r>
      <w:r w:rsidR="00E530AE" w:rsidRPr="007E40FA">
        <w:rPr>
          <w:rFonts w:ascii="Times New Roman" w:hAnsi="Times New Roman"/>
          <w:sz w:val="24"/>
          <w:szCs w:val="24"/>
        </w:rPr>
        <w:t xml:space="preserve">is </w:t>
      </w:r>
      <w:r w:rsidR="007F3854" w:rsidRPr="007E40FA">
        <w:rPr>
          <w:rFonts w:ascii="Times New Roman" w:hAnsi="Times New Roman"/>
          <w:sz w:val="24"/>
          <w:szCs w:val="24"/>
        </w:rPr>
        <w:t>indicative</w:t>
      </w:r>
      <w:r w:rsidR="00E530AE" w:rsidRPr="007E40FA">
        <w:rPr>
          <w:rFonts w:ascii="Times New Roman" w:hAnsi="Times New Roman"/>
          <w:sz w:val="24"/>
          <w:szCs w:val="24"/>
        </w:rPr>
        <w:t xml:space="preserve"> of </w:t>
      </w:r>
      <w:r w:rsidR="003F0506" w:rsidRPr="007E40FA">
        <w:rPr>
          <w:rFonts w:ascii="Times New Roman" w:hAnsi="Times New Roman"/>
          <w:sz w:val="24"/>
          <w:szCs w:val="24"/>
        </w:rPr>
        <w:t>poorer prognosis</w:t>
      </w:r>
      <w:r w:rsidR="00E530AE" w:rsidRPr="007E40FA">
        <w:rPr>
          <w:rFonts w:ascii="Times New Roman" w:hAnsi="Times New Roman"/>
          <w:sz w:val="24"/>
          <w:szCs w:val="24"/>
        </w:rPr>
        <w:t xml:space="preserve"> when compared to </w:t>
      </w:r>
      <w:r w:rsidR="003F0506" w:rsidRPr="007E40FA">
        <w:rPr>
          <w:rFonts w:ascii="Times New Roman" w:hAnsi="Times New Roman"/>
          <w:sz w:val="24"/>
          <w:szCs w:val="24"/>
        </w:rPr>
        <w:t xml:space="preserve">those </w:t>
      </w:r>
      <w:r w:rsidR="00E530AE" w:rsidRPr="007E40FA">
        <w:rPr>
          <w:rFonts w:ascii="Times New Roman" w:hAnsi="Times New Roman"/>
          <w:sz w:val="24"/>
          <w:szCs w:val="24"/>
        </w:rPr>
        <w:t xml:space="preserve">patients </w:t>
      </w:r>
      <w:r w:rsidR="003F0506" w:rsidRPr="007E40FA">
        <w:rPr>
          <w:rFonts w:ascii="Times New Roman" w:hAnsi="Times New Roman"/>
          <w:sz w:val="24"/>
          <w:szCs w:val="24"/>
        </w:rPr>
        <w:t>with fewer or no detectable CTCs</w:t>
      </w:r>
      <w:r w:rsidR="006A3BD5" w:rsidRPr="007E40FA">
        <w:rPr>
          <w:rFonts w:ascii="Times New Roman" w:hAnsi="Times New Roman"/>
          <w:sz w:val="24"/>
          <w:szCs w:val="24"/>
        </w:rPr>
        <w:t xml:space="preserve"> in the same blood volume.</w:t>
      </w:r>
      <w:r w:rsidR="00E64CE6" w:rsidRPr="007E40FA">
        <w:rPr>
          <w:rFonts w:ascii="Times New Roman" w:hAnsi="Times New Roman"/>
          <w:sz w:val="24"/>
          <w:szCs w:val="24"/>
        </w:rPr>
        <w:t xml:space="preserve"> </w:t>
      </w:r>
      <w:r w:rsidR="003A0B84" w:rsidRPr="007E40FA">
        <w:rPr>
          <w:rFonts w:ascii="Times New Roman" w:hAnsi="Times New Roman"/>
          <w:sz w:val="24"/>
          <w:szCs w:val="24"/>
        </w:rPr>
        <w:t xml:space="preserve">In addition, the change in CTC number </w:t>
      </w:r>
      <w:r w:rsidR="00052FD7" w:rsidRPr="007E40FA">
        <w:rPr>
          <w:rFonts w:ascii="Times New Roman" w:hAnsi="Times New Roman"/>
          <w:sz w:val="24"/>
          <w:szCs w:val="24"/>
        </w:rPr>
        <w:t xml:space="preserve">during or after </w:t>
      </w:r>
      <w:r w:rsidR="008F2899" w:rsidRPr="007E40FA">
        <w:rPr>
          <w:rFonts w:ascii="Times New Roman" w:hAnsi="Times New Roman"/>
          <w:sz w:val="24"/>
          <w:szCs w:val="24"/>
        </w:rPr>
        <w:t>therapeutic intervention has</w:t>
      </w:r>
      <w:r w:rsidR="003A0B84" w:rsidRPr="007E40FA">
        <w:rPr>
          <w:rFonts w:ascii="Times New Roman" w:hAnsi="Times New Roman"/>
          <w:sz w:val="24"/>
          <w:szCs w:val="24"/>
        </w:rPr>
        <w:t xml:space="preserve"> been demonstrated to be useful as a predictor of treatment response, often sooner than currently utilized techniques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"10.1158/1078-0432.CCR-05-2821", "ISSN" : "1078-0432", "PMID" : "16857794", "abstract" : "We reported previously that &gt;or=5 circulating tumor cells (CTC) in 7.5 mL blood at baseline and at first follow-up in 177 patients with metastatic breast cancer (MBC) were associated with poor clinical outcome. In this study, additional follow-up data and CTC levels at subsequent follow-up visits were evaluated.", "author" : [ { "dropping-particle" : "", "family" : "Hayes", "given" : "Daniel F", "non-dropping-particle" : "", "parse-names" : false, "suffix" : "" }, { "dropping-particle" : "", "family" : "Cristofanilli", "given" : "Massimo", "non-dropping-particle" : "", "parse-names" : false, "suffix" : "" }, { "dropping-particle" : "", "family" : "Budd", "given" : "G Thomas", "non-dropping-particle" : "", "parse-names" : false, "suffix" : "" }, { "dropping-particle" : "", "family" : "Ellis", "given" : "Matthew J", "non-dropping-particle" : "", "parse-names" : false, "suffix" : "" }, { "dropping-particle" : "", "family" : "Stopeck", "given" : "Alison", "non-dropping-particle" : "", "parse-names" : false, "suffix" : "" }, { "dropping-particle" : "", "family" : "Miller", "given" : "M Craig", "non-dropping-particle" : "", "parse-names" : false, "suffix" : "" }, { "dropping-particle" : "", "family" : "Matera", "given" : "Jeri", "non-dropping-particle" : "", "parse-names" : false, "suffix" : "" }, { "dropping-particle" : "", "family" : "Allard", "given" : "W Jeffrey", "non-dropping-particle" : "", "parse-names" : false, "suffix" : "" }, { "dropping-particle" : "V", "family" : "Doyle", "given" : "Gerald", "non-dropping-particle" : "", "parse-names" : false, "suffix" : "" }, { "dropping-particle" : "", "family" : "Terstappen", "given" : "Leon W W M", "non-dropping-particle" : "", "parse-names" : false, "suffix" : "" } ], "container-title" : "Clinical cancer research : an official journal of the American Association for Cancer Research", "id" : "ITEM-1", "issue" : "14 Pt 1", "issued" : { "date-parts" : [ [ "2006", "7", "15" ] ] }, "page" : "4218-24", "title" : "Circulating tumor cells at each follow-up time point during therapy of metastatic breast cancer patients predict progression-free and overall survival.", "type" : "article-journal", "volume" : "12" }, "uris" : [ "http://www.mendeley.com/documents/?uuid=f56d37c4-8bb4-4076-9484-2dd5c2800ea9" ] }, { "id" : "ITEM-2", "itemData" : { "DOI" : "10.1158/1078-0432.CCR-05-1769", "ISSN" : "1078-0432", "PMID" : "17085652", "abstract" : "The presence of &gt;or=5 circulating tumor cells (CTC) in 7.5 mL blood from patients with measurable metastatic breast cancer before and/or after initiation of therapy is associated with shorter progression-free and overall survival. In this report, we compared the use of CTCs to radiology for prediction of overall survival.", "author" : [ { "dropping-particle" : "", "family" : "Budd", "given" : "G Thomas", "non-dropping-particle" : "", "parse-names" : false, "suffix" : "" }, { "dropping-particle" : "", "family" : "Cristofanilli", "given" : "Massimo", "non-dropping-particle" : "", "parse-names" : false, "suffix" : "" }, { "dropping-particle" : "", "family" : "Ellis", "given" : "Mathew J", "non-dropping-particle" : "", "parse-names" : false, "suffix" : "" }, { "dropping-particle" : "", "family" : "Stopeck", "given" : "Allison", "non-dropping-particle" : "", "parse-names" : false, "suffix" : "" }, { "dropping-particle" : "", "family" : "Borden", "given" : "Ernest", "non-dropping-particle" : "", "parse-names" : false, "suffix" : "" }, { "dropping-particle" : "", "family" : "Miller", "given" : "M Craig", "non-dropping-particle" : "", "parse-names" : false, "suffix" : "" }, { "dropping-particle" : "", "family" : "Matera", "given" : "Jeri", "non-dropping-particle" : "", "parse-names" : false, "suffix" : "" }, { "dropping-particle" : "", "family" : "Repollet", "given" : "Madeline", "non-dropping-particle" : "", "parse-names" : false, "suffix" : "" }, { "dropping-particle" : "V", "family" : "Doyle", "given" : "Gerald", "non-dropping-particle" : "", "parse-names" : false, "suffix" : "" }, { "dropping-particle" : "", "family" : "Terstappen", "given" : "Leon W M M", "non-dropping-particle" : "", "parse-names" : false, "suffix" : "" }, { "dropping-particle" : "", "family" : "Hayes", "given" : "Daniel F", "non-dropping-particle" : "", "parse-names" : false, "suffix" : "" } ], "container-title" : "Clinical cancer research : an official journal of the American Association for Cancer Research", "id" : "ITEM-2", "issue" : "21", "issued" : { "date-parts" : [ [ "2006", "11", "1" ] ] }, "page" : "6403-9", "title" : "Circulating tumor cells versus imaging--predicting overall survival in metastatic breast cancer.", "type" : "article-journal", "volume" : "12" }, "uris" : [ "http://www.mendeley.com/documents/?uuid=6d332d6c-9357-4dc7-bf32-9db87e950cb0" ] }, { "id" : "ITEM-3", "itemData" : { "DOI" : "10.1093/annonc/mdn544", "ISSN" : "1569-8041", "PMID" : "18695026", "abstract" : "The purpose of this study was to evaluate the association of circulating tumour cell (CTC) counts, before and after commencing treatment, with overall survival (OS) in patients with castration-resistant prostate cancer (CRPC).", "author" : [ { "dropping-particle" : "", "family" : "Olmos", "given" : "D", "non-dropping-particle" : "", "parse-names" : false, "suffix" : "" }, { "dropping-particle" : "", "family" : "Arkenau", "given" : "H-T", "non-dropping-particle" : "", "parse-names" : false, "suffix" : "" }, { "dropping-particle" : "", "family" : "Ang", "given" : "J E", "non-dropping-particle" : "", "parse-names" : false, "suffix" : "" }, { "dropping-particle" : "", "family" : "Ledaki", "given" : "I", "non-dropping-particle" : "", "parse-names" : false, "suffix" : "" }, { "dropping-particle" : "", "family" : "Attard", "given" : "G", "non-dropping-particle" : "", "parse-names" : false, "suffix" : "" }, { "dropping-particle" : "", "family" : "Carden", "given" : "C P", "non-dropping-particle" : "", "parse-names" : false, "suffix" : "" }, { "dropping-particle" : "", "family" : "Reid", "given" : "A H M", "non-dropping-particle" : "", "parse-names" : false, "suffix" : "" }, { "dropping-particle" : "", "family" : "A'Hern", "given" : "R", "non-dropping-particle" : "", "parse-names" : false, "suffix" : "" }, { "dropping-particle" : "", "family" : "Fong", "given" : "P C", "non-dropping-particle" : "", "parse-names" : false, "suffix" : "" }, { "dropping-particle" : "", "family" : "Oomen", "given" : "N B", "non-dropping-particle" : "", "parse-names" : false, "suffix" : "" }, { "dropping-particle" : "", "family" : "Molife", "given" : "R", "non-dropping-particle" : "", "parse-names" : false, "suffix" : "" }, { "dropping-particle" : "", "family" : "Dearnaley", "given" : "D", "non-dropping-particle" : "", "parse-names" : false, "suffix" : "" }, { "dropping-particle" : "", "family" : "Parker", "given" : "C", "non-dropping-particle" : "", "parse-names" : false, "suffix" : "" }, { "dropping-particle" : "", "family" : "Terstappen", "given" : "L W M M", "non-dropping-particle" : "", "parse-names" : false, "suffix" : "" }, { "dropping-particle" : "", "family" : "Bono", "given" : "J S", "non-dropping-particle" : "de", "parse-names" : false, "suffix" : "" } ], "container-title" : "Annals of oncology : official journal of the European Society for Medical Oncology / ESMO", "id" : "ITEM-3", "issue" : "1", "issued" : { "date-parts" : [ [ "2009", "1" ] ] }, "page" : "27-33", "title" : "Circulating tumour cell (CTC) counts as intermediate end points in castration-resistant prostate cancer (CRPC): a single-centre experience.", "type" : "article-journal", "volume" : "20" }, "uris" : [ "http://www.mendeley.com/documents/?uuid=2cce8478-4469-40ab-91bf-dface131ad25" ] }, { "id" : "ITEM-4", "itemData" : { "ISSN" : "1078-0432", "PMID" : "18829513", "abstract" : "PURPOSE: A method for enumerating circulating tumor cells (CTC) has received regulatory clearance. The primary objective of this prospective study was to establish the relationship between posttreatment CTC count and overall survival (OS) in castration-resistant prostate cancer (CRPC). Secondary objectives included determining the prognostic utility of CTC measurement before initiating therapy, and the relationship of CTC to prostate-specific antigen (PSA) changes and OS at these and other time points. EXPERIMENTAL DESIGN: Blood was drawn from CRPC patients with progressive disease starting a new line of chemotherapy before treatment and monthly thereafter. Patients were stratified into predetermined Favorable or Unfavorable groups (&lt;5 and &gt; or =5 CTC/7.5mL). RESULTS: Two hundred thirty-one of 276 enrolled patients (84%) were evaluable. Patients with Unfavorable pretreatment CTC (57%) had shorter OS (median OS, 11.5 versus 21.7 months; Cox hazard ratio, 3.3; P &lt; 0.0001). Unfavorable posttreatment CTC counts also predicted shorter OS at 2 to 5, 6 to 8, 9 to 12, and 13 to 20 weeks (median OS, 6.7-9.5 versus 19.6-20.7 months; Cox hazard ratio, 3.6-6.5; P &lt; 0.0001). CTC counts predicted OS better than PSA decrement algorithms at all time points; area under the receiver operator curve for CTC was 81% to 87% and 58% to 68% for 30% PSA reduction (P = 0.0218). Prognosis for patients with (a) Unfavorable baseline CTC who converted to Favorable CTC improved (6.8 to 21.3 months); (b) Favorable baseline CTC who converted to Unfavorable worsened (&gt;26 to 9.3 months). CONCLUSIONS: CTC are the most accurate and independent predictor of OS in CRPC. These data led to Food and Drug Administration clearance of this assay for the evaluation of CRPC.", "author" : [ { "dropping-particle" : "", "family" : "Bono", "given" : "Johann S", "non-dropping-particle" : "de", "parse-names" : false, "suffix" : "" }, { "dropping-particle" : "", "family" : "Scher", "given" : "Howard I", "non-dropping-particle" : "", "parse-names" : false, "suffix" : "" }, { "dropping-particle" : "", "family" : "Montgomery", "given" : "R Bruce", "non-dropping-particle" : "", "parse-names" : false, "suffix" : "" }, { "dropping-particle" : "", "family" : "Parker", "given" : "Christopher", "non-dropping-particle" : "", "parse-names" : false, "suffix" : "" }, { "dropping-particle" : "", "family" : "Miller", "given" : "M Craig", "non-dropping-particle" : "", "parse-names" : false, "suffix" : "" }, { "dropping-particle" : "", "family" : "Tissing", "given" : "Henk", "non-dropping-particle" : "", "parse-names" : false, "suffix" : "" }, { "dropping-particle" : "V", "family" : "Doyle", "given" : "Gerald", "non-dropping-particle" : "", "parse-names" : false, "suffix" : "" }, { "dropping-particle" : "", "family" : "Terstappen", "given" : "Leon W W M", "non-dropping-particle" : "", "parse-names" : false, "suffix" : "" }, { "dropping-particle" : "", "family" : "Pienta", "given" : "Kenneth J", "non-dropping-particle" : "", "parse-names" : false, "suffix" : "" }, { "dropping-particle" : "", "family" : "Raghavan", "given" : "Derek", "non-dropping-particle" : "", "parse-names" : false, "suffix" : "" } ], "container-title" : "Clinical cancer research : an official journal of the American Association for Cancer Research", "id" : "ITEM-4", "issue" : "19", "issued" : { "date-parts" : [ [ "2008", "10" ] ] }, "page" : "6302-9", "title" : "Circulating tumor cells predict survival benefit from treatment in metastatic castration-resistant prostate cancer.", "type" : "article-journal", "volume" : "14" }, "uris" : [ "http://www.mendeley.com/documents/?uuid=e395c73b-2fe0-47e7-bccd-d72809bcbcca" ] } ], "mendeley" : { "previouslyFormattedCitation" : "&lt;sup&gt;7\u201310&lt;/sup&gt;"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7–10</w:t>
      </w:r>
      <w:r w:rsidR="0036708D" w:rsidRPr="007E40FA">
        <w:rPr>
          <w:rFonts w:ascii="Times New Roman" w:hAnsi="Times New Roman"/>
          <w:sz w:val="24"/>
          <w:szCs w:val="24"/>
        </w:rPr>
        <w:fldChar w:fldCharType="end"/>
      </w:r>
      <w:r w:rsidR="003A0B84" w:rsidRPr="007E40FA">
        <w:rPr>
          <w:rFonts w:ascii="Times New Roman" w:hAnsi="Times New Roman"/>
          <w:sz w:val="24"/>
          <w:szCs w:val="24"/>
        </w:rPr>
        <w:t xml:space="preserve">. </w:t>
      </w:r>
    </w:p>
    <w:p w:rsidR="006A3BD5" w:rsidRPr="007E40FA" w:rsidRDefault="006A3BD5" w:rsidP="001F0875">
      <w:pPr>
        <w:spacing w:after="0" w:line="240" w:lineRule="auto"/>
        <w:jc w:val="both"/>
        <w:rPr>
          <w:rFonts w:ascii="Times New Roman" w:hAnsi="Times New Roman"/>
          <w:sz w:val="24"/>
          <w:szCs w:val="24"/>
        </w:rPr>
      </w:pPr>
    </w:p>
    <w:p w:rsidR="006A3BD5" w:rsidRPr="007E40FA" w:rsidRDefault="00E530AE" w:rsidP="001F0875">
      <w:pPr>
        <w:spacing w:after="0" w:line="240" w:lineRule="auto"/>
        <w:jc w:val="both"/>
        <w:rPr>
          <w:rFonts w:ascii="Times New Roman" w:hAnsi="Times New Roman"/>
          <w:sz w:val="24"/>
          <w:szCs w:val="24"/>
        </w:rPr>
      </w:pPr>
      <w:r w:rsidRPr="007E40FA">
        <w:rPr>
          <w:rFonts w:ascii="Times New Roman" w:hAnsi="Times New Roman"/>
          <w:sz w:val="24"/>
          <w:szCs w:val="24"/>
        </w:rPr>
        <w:t>It has been estimated that, i</w:t>
      </w:r>
      <w:r w:rsidR="00201C52" w:rsidRPr="007E40FA">
        <w:rPr>
          <w:rFonts w:ascii="Times New Roman" w:hAnsi="Times New Roman"/>
          <w:sz w:val="24"/>
          <w:szCs w:val="24"/>
        </w:rPr>
        <w:t>n metastatic cancer patients</w:t>
      </w:r>
      <w:r w:rsidRPr="007E40FA">
        <w:rPr>
          <w:rFonts w:ascii="Times New Roman" w:hAnsi="Times New Roman"/>
          <w:sz w:val="24"/>
          <w:szCs w:val="24"/>
        </w:rPr>
        <w:t xml:space="preserve">, </w:t>
      </w:r>
      <w:r w:rsidR="00201C52" w:rsidRPr="007E40FA">
        <w:rPr>
          <w:rFonts w:ascii="Times New Roman" w:hAnsi="Times New Roman"/>
          <w:sz w:val="24"/>
          <w:szCs w:val="24"/>
        </w:rPr>
        <w:t>C</w:t>
      </w:r>
      <w:r w:rsidR="00052FD7" w:rsidRPr="007E40FA">
        <w:rPr>
          <w:rFonts w:ascii="Times New Roman" w:hAnsi="Times New Roman"/>
          <w:sz w:val="24"/>
          <w:szCs w:val="24"/>
        </w:rPr>
        <w:t xml:space="preserve">TCs </w:t>
      </w:r>
      <w:r w:rsidR="00201C52" w:rsidRPr="007E40FA">
        <w:rPr>
          <w:rFonts w:ascii="Times New Roman" w:hAnsi="Times New Roman"/>
          <w:sz w:val="24"/>
          <w:szCs w:val="24"/>
        </w:rPr>
        <w:t>occur at a frequency of approximately 1 CTC per 10</w:t>
      </w:r>
      <w:r w:rsidR="00201C52" w:rsidRPr="007E40FA">
        <w:rPr>
          <w:rFonts w:ascii="Times New Roman" w:hAnsi="Times New Roman"/>
          <w:sz w:val="24"/>
          <w:szCs w:val="24"/>
          <w:vertAlign w:val="superscript"/>
        </w:rPr>
        <w:t>5</w:t>
      </w:r>
      <w:r w:rsidR="00201C52" w:rsidRPr="007E40FA">
        <w:rPr>
          <w:rFonts w:ascii="Times New Roman" w:hAnsi="Times New Roman"/>
          <w:sz w:val="24"/>
          <w:szCs w:val="24"/>
        </w:rPr>
        <w:t>-10</w:t>
      </w:r>
      <w:r w:rsidR="00201C52" w:rsidRPr="007E40FA">
        <w:rPr>
          <w:rFonts w:ascii="Times New Roman" w:hAnsi="Times New Roman"/>
          <w:sz w:val="24"/>
          <w:szCs w:val="24"/>
          <w:vertAlign w:val="superscript"/>
        </w:rPr>
        <w:t>7</w:t>
      </w:r>
      <w:r w:rsidR="00201C52" w:rsidRPr="007E40FA">
        <w:rPr>
          <w:rFonts w:ascii="Times New Roman" w:hAnsi="Times New Roman"/>
          <w:sz w:val="24"/>
          <w:szCs w:val="24"/>
        </w:rPr>
        <w:t xml:space="preserve"> blood mononuclear cells</w:t>
      </w:r>
      <w:r w:rsidRPr="007E40FA">
        <w:rPr>
          <w:rFonts w:ascii="Times New Roman" w:hAnsi="Times New Roman"/>
          <w:sz w:val="24"/>
          <w:szCs w:val="24"/>
        </w:rPr>
        <w:t xml:space="preserve"> and in patients with localized disease, t</w:t>
      </w:r>
      <w:r w:rsidR="00201C52" w:rsidRPr="007E40FA">
        <w:rPr>
          <w:rFonts w:ascii="Times New Roman" w:hAnsi="Times New Roman"/>
          <w:sz w:val="24"/>
          <w:szCs w:val="24"/>
        </w:rPr>
        <w:t>his frequency may be even lower (~1 in 10</w:t>
      </w:r>
      <w:r w:rsidR="00201C52" w:rsidRPr="007E40FA">
        <w:rPr>
          <w:rFonts w:ascii="Times New Roman" w:hAnsi="Times New Roman"/>
          <w:sz w:val="24"/>
          <w:szCs w:val="24"/>
          <w:vertAlign w:val="superscript"/>
        </w:rPr>
        <w:t>8</w:t>
      </w:r>
      <w:r w:rsidR="00201C52" w:rsidRPr="007E40FA">
        <w:rPr>
          <w:rFonts w:ascii="Times New Roman" w:hAnsi="Times New Roman"/>
          <w:sz w:val="24"/>
          <w:szCs w:val="24"/>
        </w:rPr>
        <w:t>).</w:t>
      </w:r>
      <w:r w:rsidR="00052FD7" w:rsidRPr="007E40FA">
        <w:t xml:space="preserve"> </w:t>
      </w:r>
      <w:r w:rsidR="0001196B" w:rsidRPr="007E40FA">
        <w:rPr>
          <w:rFonts w:ascii="Times New Roman" w:hAnsi="Times New Roman"/>
          <w:sz w:val="24"/>
          <w:szCs w:val="24"/>
        </w:rPr>
        <w:t>The rare nature of these cells can make it difficult to accurately and reliably detect and analyze CTCs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"1687-8469", "PMID" : "20049168", "abstract" : "Solid cancers are a leading cause of death worldwide, primarily due to the failure of effective clinical detection and treatment of metastatic disease in distant sites. There is growing evidence that the presence of circulating tumor cells (CTCs) in the blood of cancer patients may be an important indicator of the potential for metastatic disease and poor prognosis. Technological advances have now facilitated the enumeration and characterization of CTCs using methods such as PCR, flow cytometry, image-based immunologic approaches, immunomagnetic techniques, and microchip technology. However, the rare nature of these cells requires that very sensitive and robust detection/enumeration methods be developed and validated in order to implement CTC analysis for widespread use in the clinic. This review will focus on the important technical and statistical considerations that must be taken into account when designing and implementing CTC assays, as well as the subsequent interpretation of these results for the purposes of clinical decision making.", "author" : [ { "dropping-particle" : "", "family" : "Allan", "given" : "Alison L", "non-dropping-particle" : "", "parse-names" : false, "suffix" : "" }, { "dropping-particle" : "", "family" : "Keeney", "given" : "Michael", "non-dropping-particle" : "", "parse-names" : false, "suffix" : "" } ], "container-title" : "Journal of oncology", "id" : "ITEM-1", "issued" : { "date-parts" : [ [ "2010", "1" ] ] }, "page" : "426218", "title" : "Circulating tumor cell analysis: technical and statistical considerations for application to the clinic.", "type" : "article-journal", "volume" : "2010" }, "uris" : [ "http://www.mendeley.com/documents/?uuid=8bac74c2-87cd-4841-989c-7a470477d336" ] } ], "mendeley" : { "previouslyFormattedCitation" : "&lt;sup&gt;11&lt;/sup&gt;"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11</w:t>
      </w:r>
      <w:r w:rsidR="0036708D" w:rsidRPr="007E40FA">
        <w:rPr>
          <w:rFonts w:ascii="Times New Roman" w:hAnsi="Times New Roman"/>
          <w:sz w:val="24"/>
          <w:szCs w:val="24"/>
        </w:rPr>
        <w:fldChar w:fldCharType="end"/>
      </w:r>
      <w:r w:rsidR="0001196B" w:rsidRPr="007E40FA">
        <w:rPr>
          <w:rFonts w:ascii="Times New Roman" w:hAnsi="Times New Roman"/>
          <w:sz w:val="24"/>
          <w:szCs w:val="24"/>
        </w:rPr>
        <w:t xml:space="preserve">. </w:t>
      </w:r>
      <w:r w:rsidR="0036708D" w:rsidRPr="007E40FA">
        <w:rPr>
          <w:rFonts w:ascii="Times New Roman" w:hAnsi="Times New Roman"/>
          <w:sz w:val="24"/>
          <w:szCs w:val="24"/>
        </w:rPr>
        <w:t>Several methods (reviewed previously</w:t>
      </w:r>
      <w:r w:rsidR="0036708D" w:rsidRPr="007E40FA">
        <w:rPr>
          <w:rFonts w:ascii="Times New Roman" w:hAnsi="Times New Roman"/>
          <w:sz w:val="24"/>
          <w:szCs w:val="24"/>
        </w:rPr>
        <w:fldChar w:fldCharType="begin" w:fldLock="1"/>
      </w:r>
      <w:r w:rsidR="0036708D" w:rsidRPr="007E40FA">
        <w:rPr>
          <w:rFonts w:ascii="Times New Roman" w:hAnsi="Times New Roman"/>
          <w:sz w:val="24"/>
          <w:szCs w:val="24"/>
        </w:rPr>
        <w:instrText>ADDIN CSL_CITATION { "citationItems" : [ { "id" : "ITEM-1", "itemData" : { "DOI" : "10.1016/B978-0-12-374912-3.00010-9", "ISSN" : "0091-679X", "PMID" : "21704842", "abstract" : "The majority of cancer-related deaths are as a result of metastatic disease, which has been correlated with the presence of circulating tumor cells (CTCs) in the bloodstream. Therefore the ability to reliably enumerate and characterize these cells could provide useful information about the biology of the metastatic cascade; facilitate patient prognosis; act as a marker of therapeutic response; and/or aid in novel anticancer drug development. Several different techniques have been utilized for the enrichment and detection of these rare CTCs, each having their own unique advantages and disadvantages. In this chapter we will briefly discuss each of these techniques as well as the pros and cons of each approach. In particular, we will provide a comprehensive examination of two image cytometry approaches for CTC analysis that are in routine use in our laboratory; the iCys Laser Scanning Cytometer (Compucyte, Cambridge, MA), and the CellSearch\u00ae system (Veridex, North Raritan, NJ). The ability to detect, enumerate, and characterize CTCs is an important tool for the study of the metastatic cascade and the improved clinical management of cancer patients. These rare cells could shed light on the basic biology behind this highly lethal process and ultimately change current patient treatment guidelines.", "author" : [ { "dropping-particle" : "", "family" : "Lowes", "given" : "Lori E", "non-dropping-particle" : "", "parse-names" : false, "suffix" : "" }, { "dropping-particle" : "", "family" : "Goodale", "given" : "David", "non-dropping-particle" : "", "parse-names" : false, "suffix" : "" }, { "dropping-particle" : "", "family" : "Keeney", "given" : "Michael", "non-dropping-particle" : "", "parse-names" : false, "suffix" : "" }, { "dropping-particle" : "", "family" : "Allan", "given" : "Alison L", "non-dropping-particle" : "", "parse-names" : false, "suffix" : "" } ], "container-title" : "Methods in cell biology", "id" : "ITEM-1", "issued" : { "date-parts" : [ [ "2011", "1" ] ] }, "page" : "261-90", "title" : "Image cytometry analysis of circulating tumor cells.", "type" : "article-journal", "volume" : "102" }, "uris" : [ "http://www.mendeley.com/documents/?uuid=797adc53-8791-4d9f-b613-e32645c5249b" ] }, { "id" : "ITEM-2", "itemData" : { "DOI" : "10.1373/clinchem.2011.165068", "ISSN" : "1530-8561", "PMID" : "21784769", "abstract" : "Circulating tumor cell (CTC) analysis is a promising new diagnostic field for estimating the risk for metastatic relapse and metastatic progression in patients with cancer.", "author" : [ { "dropping-particle" : "", "family" : "Lianidou", "given" : "Evi S", "non-dropping-particle" : "", "parse-names" : false, "suffix" : "" }, { "dropping-particle" : "", "family" : "Markou", "given" : "Athina", "non-dropping-particle" : "", "parse-names" : false, "suffix" : "" } ], "container-title" : "Clinical chemistry", "id" : "ITEM-2", "issue" : "9", "issued" : { "date-parts" : [ [ "2011", "9" ] ] }, "page" : "1242-55", "title" : "Circulating tumor cells in breast cancer: detection systems, molecular characterization, and future challenges.", "type" : "article-journal", "volume" : "57" }, "uris" : [ "http://www.mendeley.com/documents/?uuid=b9827a54-ba75-4d20-99b8-5fe09b2f68f1" ] }, { "id" : "ITEM-3", "itemData" : { "DOI" : "10.1373/clinchem.2012.194258", "ISSN" : "1530-8561", "PMID" : "23014601", "abstract" : "The detection and molecular characterization of circulating tumor cells (CTCs) are one of the most active areas of translational cancer research, with &gt;400 clinical studies having included CTCs as a biomarker. The aims of research on CTCs include (a) estimation of the risk for metastatic relapse or metastatic progression (prognostic information), (b) stratification and real-time monitoring of therapies, (c) identification of therapeutic targets and resistance mechanisms, and (d) understanding metastasis development in cancer patients.", "author" : [ { "dropping-particle" : "", "family" : "Alix-Panabi\u00e8res", "given" : "Catherine", "non-dropping-particle" : "", "parse-names" : false, "suffix" : "" }, { "dropping-particle" : "", "family" : "Pantel", "given" : "Klaus", "non-dropping-particle" : "", "parse-names" : false, "suffix" : "" } ], "container-title" : "Clinical chemistry", "id" : "ITEM-3", "issue" : "1", "issued" : { "date-parts" : [ [ "2013", "1" ] ] }, "page" : "110-8", "title" : "Circulating tumor cells: liquid biopsy of cancer.", "type" : "article-journal", "volume" : "59" }, "uris" : [ "http://www.mendeley.com/documents/?uuid=42f9489f-92ab-4fc9-b0d9-083b108da1f3" ] } ], "mendeley" : { "previouslyFormattedCitation" : "&lt;sup&gt;12\u201314&lt;/sup&gt;"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36708D" w:rsidRPr="007E40FA">
        <w:rPr>
          <w:rFonts w:ascii="Times New Roman" w:hAnsi="Times New Roman"/>
          <w:noProof/>
          <w:sz w:val="24"/>
          <w:szCs w:val="24"/>
          <w:vertAlign w:val="superscript"/>
        </w:rPr>
        <w:t>12–14</w:t>
      </w:r>
      <w:r w:rsidR="0036708D" w:rsidRPr="007E40FA">
        <w:rPr>
          <w:rFonts w:ascii="Times New Roman" w:hAnsi="Times New Roman"/>
          <w:sz w:val="24"/>
          <w:szCs w:val="24"/>
        </w:rPr>
        <w:fldChar w:fldCharType="end"/>
      </w:r>
      <w:r w:rsidR="0036708D" w:rsidRPr="007E40FA">
        <w:rPr>
          <w:rFonts w:ascii="Times New Roman" w:hAnsi="Times New Roman"/>
          <w:sz w:val="24"/>
          <w:szCs w:val="24"/>
        </w:rPr>
        <w:t>) have been utilized to enrich and detect these cells by exploiting properties that differentiate them from surrounding blood components. In general, CTC enumeration is a two-part process that requires both an enrichment step and a detection step. Traditionally, enrichment steps rely on differences in physical properties of CTCs (cell size, density, deformability) or on protein marker expression (i.e., epithelial cell adhesion molecule [</w:t>
      </w:r>
      <w:proofErr w:type="spellStart"/>
      <w:r w:rsidR="0036708D" w:rsidRPr="007E40FA">
        <w:rPr>
          <w:rFonts w:ascii="Times New Roman" w:hAnsi="Times New Roman"/>
          <w:sz w:val="24"/>
          <w:szCs w:val="24"/>
        </w:rPr>
        <w:t>EpCAM</w:t>
      </w:r>
      <w:proofErr w:type="spellEnd"/>
      <w:r w:rsidR="0036708D" w:rsidRPr="007E40FA">
        <w:rPr>
          <w:rFonts w:ascii="Times New Roman" w:hAnsi="Times New Roman"/>
          <w:sz w:val="24"/>
          <w:szCs w:val="24"/>
        </w:rPr>
        <w:t>], cytokeratin [CK]). Following enrichment, CTC detection can be performed in a number of different ways, the most common of which are nucleic acid-based assays</w:t>
      </w:r>
      <w:r w:rsidR="0036708D" w:rsidRPr="007E40FA">
        <w:fldChar w:fldCharType="begin"/>
      </w:r>
      <w:r w:rsidR="0036708D" w:rsidRPr="007E40FA">
        <w:fldChar w:fldCharType="separate"/>
      </w:r>
      <w:r w:rsidR="0036708D" w:rsidRPr="007E40FA">
        <w:rPr>
          <w:rFonts w:ascii="Times New Roman" w:hAnsi="Times New Roman"/>
          <w:noProof/>
          <w:sz w:val="24"/>
          <w:szCs w:val="24"/>
        </w:rPr>
        <w:t>{Formatting Citation}</w:t>
      </w:r>
      <w:r w:rsidR="0036708D" w:rsidRPr="007E40FA">
        <w:rPr>
          <w:rFonts w:ascii="Times New Roman" w:hAnsi="Times New Roman"/>
          <w:noProof/>
          <w:sz w:val="24"/>
          <w:szCs w:val="24"/>
        </w:rPr>
        <w:fldChar w:fldCharType="end"/>
      </w:r>
      <w:r w:rsidR="0036708D" w:rsidRPr="007E40FA">
        <w:fldChar w:fldCharType="begin"/>
      </w:r>
      <w:r w:rsidR="0036708D" w:rsidRPr="007E40FA">
        <w:fldChar w:fldCharType="separate"/>
      </w:r>
      <w:r w:rsidR="0036708D" w:rsidRPr="007E40FA">
        <w:rPr>
          <w:rFonts w:ascii="Times New Roman" w:hAnsi="Times New Roman"/>
          <w:noProof/>
          <w:sz w:val="24"/>
          <w:szCs w:val="24"/>
        </w:rPr>
        <w:t>{Formatting Citation}</w:t>
      </w:r>
      <w:r w:rsidR="0036708D" w:rsidRPr="007E40FA">
        <w:rPr>
          <w:rFonts w:ascii="Times New Roman" w:hAnsi="Times New Roman"/>
          <w:noProof/>
          <w:sz w:val="24"/>
          <w:szCs w:val="24"/>
        </w:rPr>
        <w:fldChar w:fldCharType="end"/>
      </w:r>
      <w:r w:rsidR="0036708D" w:rsidRPr="007E40FA">
        <w:fldChar w:fldCharType="begin"/>
      </w:r>
      <w:r w:rsidR="0036708D" w:rsidRPr="007E40FA">
        <w:fldChar w:fldCharType="separate"/>
      </w:r>
      <w:r w:rsidR="0036708D" w:rsidRPr="007E40FA">
        <w:rPr>
          <w:rFonts w:ascii="Times New Roman" w:hAnsi="Times New Roman"/>
          <w:sz w:val="24"/>
          <w:szCs w:val="24"/>
        </w:rPr>
        <w:t>{Formatting Citation}</w:t>
      </w:r>
      <w:r w:rsidR="0036708D" w:rsidRPr="007E40FA">
        <w:rPr>
          <w:rFonts w:ascii="Times New Roman" w:hAnsi="Times New Roman"/>
          <w:sz w:val="24"/>
          <w:szCs w:val="24"/>
        </w:rPr>
        <w:fldChar w:fldCharType="end"/>
      </w:r>
      <w:r w:rsidR="0036708D" w:rsidRPr="007E40FA">
        <w:fldChar w:fldCharType="begin"/>
      </w:r>
      <w:r w:rsidR="0036708D" w:rsidRPr="007E40FA">
        <w:fldChar w:fldCharType="separate"/>
      </w:r>
      <w:r w:rsidR="0036708D" w:rsidRPr="007E40FA">
        <w:rPr>
          <w:rFonts w:ascii="Times New Roman" w:hAnsi="Times New Roman"/>
          <w:noProof/>
          <w:sz w:val="24"/>
          <w:szCs w:val="24"/>
        </w:rPr>
        <w:t>{Formatting Citation}</w:t>
      </w:r>
      <w:r w:rsidR="0036708D" w:rsidRPr="007E40FA">
        <w:rPr>
          <w:rFonts w:ascii="Times New Roman" w:hAnsi="Times New Roman"/>
          <w:noProof/>
          <w:sz w:val="24"/>
          <w:szCs w:val="24"/>
        </w:rPr>
        <w:fldChar w:fldCharType="end"/>
      </w:r>
      <w:r w:rsidR="0036708D" w:rsidRPr="007E40FA">
        <w:fldChar w:fldCharType="begin"/>
      </w:r>
      <w:r w:rsidR="0036708D" w:rsidRPr="007E40FA">
        <w:fldChar w:fldCharType="separate"/>
      </w:r>
      <w:r w:rsidR="0036708D" w:rsidRPr="007E40FA">
        <w:rPr>
          <w:rFonts w:ascii="Times New Roman" w:hAnsi="Times New Roman"/>
          <w:noProof/>
          <w:sz w:val="24"/>
          <w:szCs w:val="24"/>
        </w:rPr>
        <w:t>{Formatting Citation}</w:t>
      </w:r>
      <w:r w:rsidR="0036708D" w:rsidRPr="007E40FA">
        <w:rPr>
          <w:rFonts w:ascii="Times New Roman" w:hAnsi="Times New Roman"/>
          <w:noProof/>
          <w:sz w:val="24"/>
          <w:szCs w:val="24"/>
        </w:rPr>
        <w:fldChar w:fldCharType="end"/>
      </w:r>
      <w:r w:rsidR="0036708D" w:rsidRPr="007E40FA">
        <w:rPr>
          <w:rFonts w:ascii="Times New Roman" w:hAnsi="Times New Roman"/>
          <w:sz w:val="24"/>
          <w:szCs w:val="24"/>
        </w:rPr>
        <w:t xml:space="preserve"> and/or </w:t>
      </w:r>
      <w:proofErr w:type="spellStart"/>
      <w:r w:rsidR="0036708D" w:rsidRPr="007E40FA">
        <w:rPr>
          <w:rFonts w:ascii="Times New Roman" w:hAnsi="Times New Roman"/>
          <w:sz w:val="24"/>
          <w:szCs w:val="24"/>
        </w:rPr>
        <w:t>cytometric</w:t>
      </w:r>
      <w:proofErr w:type="spellEnd"/>
      <w:r w:rsidR="0036708D" w:rsidRPr="007E40FA">
        <w:rPr>
          <w:rFonts w:ascii="Times New Roman" w:hAnsi="Times New Roman"/>
          <w:sz w:val="24"/>
          <w:szCs w:val="24"/>
        </w:rPr>
        <w:t xml:space="preserve"> approaches</w:t>
      </w:r>
      <w:r w:rsidR="0036708D" w:rsidRPr="007E40FA">
        <w:fldChar w:fldCharType="begin"/>
      </w:r>
      <w:r w:rsidR="0036708D" w:rsidRPr="007E40FA">
        <w:fldChar w:fldCharType="separate"/>
      </w:r>
      <w:r w:rsidR="0036708D" w:rsidRPr="007E40FA">
        <w:rPr>
          <w:rFonts w:ascii="Times New Roman" w:hAnsi="Times New Roman"/>
          <w:noProof/>
          <w:sz w:val="24"/>
          <w:szCs w:val="24"/>
        </w:rPr>
        <w:t>{Formatting Citation}</w:t>
      </w:r>
      <w:r w:rsidR="0036708D" w:rsidRPr="007E40FA">
        <w:rPr>
          <w:rFonts w:ascii="Times New Roman" w:hAnsi="Times New Roman"/>
          <w:noProof/>
          <w:sz w:val="24"/>
          <w:szCs w:val="24"/>
        </w:rPr>
        <w:fldChar w:fldCharType="end"/>
      </w:r>
      <w:r w:rsidR="0036708D" w:rsidRPr="007E40FA">
        <w:rPr>
          <w:rFonts w:ascii="Times New Roman" w:hAnsi="Times New Roman"/>
          <w:sz w:val="24"/>
          <w:szCs w:val="24"/>
        </w:rPr>
        <w:t xml:space="preserve">. Each of these strategies are unique, having distinct advantages and disadvantages, </w:t>
      </w:r>
      <w:r w:rsidR="0036708D" w:rsidRPr="007E40FA">
        <w:fldChar w:fldCharType="begin"/>
      </w:r>
      <w:r w:rsidR="0036708D" w:rsidRPr="007E40FA">
        <w:fldChar w:fldCharType="separate"/>
      </w:r>
      <w:r w:rsidR="0036708D" w:rsidRPr="007E40FA">
        <w:rPr>
          <w:rFonts w:ascii="Times New Roman" w:hAnsi="Times New Roman"/>
          <w:noProof/>
          <w:sz w:val="24"/>
          <w:szCs w:val="24"/>
        </w:rPr>
        <w:t>{Formatting Citation}</w:t>
      </w:r>
      <w:r w:rsidR="0036708D" w:rsidRPr="007E40FA">
        <w:rPr>
          <w:rFonts w:ascii="Times New Roman" w:hAnsi="Times New Roman"/>
          <w:noProof/>
          <w:sz w:val="24"/>
          <w:szCs w:val="24"/>
        </w:rPr>
        <w:fldChar w:fldCharType="end"/>
      </w:r>
      <w:r w:rsidR="0036708D" w:rsidRPr="007E40FA">
        <w:rPr>
          <w:rFonts w:ascii="Times New Roman" w:hAnsi="Times New Roman"/>
          <w:sz w:val="24"/>
          <w:szCs w:val="24"/>
        </w:rPr>
        <w:t xml:space="preserve">however they all lack standardization; a necessity for entrance into the clinical setting. </w:t>
      </w:r>
      <w:r w:rsidR="00FB5225" w:rsidRPr="007E40FA">
        <w:rPr>
          <w:rFonts w:ascii="Times New Roman" w:hAnsi="Times New Roman"/>
          <w:sz w:val="24"/>
          <w:szCs w:val="24"/>
        </w:rPr>
        <w:t xml:space="preserve">The </w:t>
      </w:r>
      <w:proofErr w:type="spellStart"/>
      <w:r w:rsidR="00FB5225" w:rsidRPr="007E40FA">
        <w:rPr>
          <w:rFonts w:ascii="Times New Roman" w:hAnsi="Times New Roman"/>
          <w:sz w:val="24"/>
          <w:szCs w:val="24"/>
        </w:rPr>
        <w:t>CellSearch</w:t>
      </w:r>
      <w:proofErr w:type="spellEnd"/>
      <w:r w:rsidR="00FB5225" w:rsidRPr="007E40FA">
        <w:rPr>
          <w:rFonts w:ascii="Times New Roman" w:hAnsi="Times New Roman"/>
          <w:sz w:val="24"/>
          <w:szCs w:val="24"/>
        </w:rPr>
        <w:t xml:space="preserve"> system</w:t>
      </w:r>
      <w:r w:rsidR="004C0272" w:rsidRPr="007E40FA">
        <w:rPr>
          <w:rFonts w:ascii="Times New Roman" w:hAnsi="Times New Roman"/>
          <w:sz w:val="24"/>
          <w:szCs w:val="24"/>
        </w:rPr>
        <w:t xml:space="preserve"> (CSS)</w:t>
      </w:r>
      <w:r w:rsidR="00FB5225" w:rsidRPr="007E40FA">
        <w:rPr>
          <w:rFonts w:ascii="Times New Roman" w:hAnsi="Times New Roman"/>
          <w:sz w:val="24"/>
          <w:szCs w:val="24"/>
        </w:rPr>
        <w:t xml:space="preserve"> was therefore developed to provide a standardized method for </w:t>
      </w:r>
      <w:r w:rsidR="004B191B" w:rsidRPr="007E40FA">
        <w:rPr>
          <w:rFonts w:ascii="Times New Roman" w:hAnsi="Times New Roman"/>
          <w:sz w:val="24"/>
          <w:szCs w:val="24"/>
        </w:rPr>
        <w:t xml:space="preserve">the detection and enumeration of rare CTCs in human blood </w:t>
      </w:r>
      <w:r w:rsidR="006A3BD5" w:rsidRPr="007E40FA">
        <w:rPr>
          <w:rFonts w:ascii="Times New Roman" w:hAnsi="Times New Roman"/>
          <w:sz w:val="24"/>
          <w:szCs w:val="24"/>
        </w:rPr>
        <w:t xml:space="preserve">using fluorescence microscopy and </w:t>
      </w:r>
      <w:r w:rsidR="004B191B" w:rsidRPr="007E40FA">
        <w:rPr>
          <w:rFonts w:ascii="Times New Roman" w:hAnsi="Times New Roman"/>
          <w:sz w:val="24"/>
          <w:szCs w:val="24"/>
        </w:rPr>
        <w:t>antibody</w:t>
      </w:r>
      <w:r w:rsidR="007F3854" w:rsidRPr="007E40FA">
        <w:rPr>
          <w:rFonts w:ascii="Times New Roman" w:hAnsi="Times New Roman"/>
          <w:sz w:val="24"/>
          <w:szCs w:val="24"/>
        </w:rPr>
        <w:t>-</w:t>
      </w:r>
      <w:r w:rsidR="006A3BD5" w:rsidRPr="007E40FA">
        <w:rPr>
          <w:rFonts w:ascii="Times New Roman" w:hAnsi="Times New Roman"/>
          <w:sz w:val="24"/>
          <w:szCs w:val="24"/>
        </w:rPr>
        <w:t>based techniques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"1533-4406", "PMID" : "15317891", "abstract" : "BACKGROUND: We tested the hypothesis that the level of circulating tumor cells can predict survival in metastatic breast cancer. METHODS: In a prospective, multicenter study, we tested 177 patients with measurable metastatic breast cancer for levels of circulating tumor cells both before the patients were to start a new line of treatment and at the first follow-up visit. The progression of the disease or the response to treatment was determined with the use of standard imaging studies at the participating centers. RESULTS: Outcomes were assessed according to levels of circulating tumor cells at baseline, before the patients started a new treatment for metastatic disease. Patients in a training set with levels of circulating tumor cells equal to or higher than 5 per 7.5 ml of whole blood, as compared with the group with fewer than 5 circulating tumor cells per 7.5 ml, had a shorter median progression-free survival (2.7 months vs. 7.0 months, P&lt;0.001) and shorter overall survival (10.1 months vs. &gt;18 months, P&lt;0.001). At the first follow-up visit after the initiation of therapy, this difference between the groups persisted (progression-free survival, 2.1 months vs. 7.0 months; P&lt;0.001; overall survival, 8.2 months vs. &gt;18 months; P&lt;0.001), and the reduced proportion of patients (from 49 percent to 30 percent) in the group with an unfavorable prognosis suggested that there was a benefit from therapy. The multivariate Cox proportional-hazards regression showed that, of all the variables in the statistical model, the levels of circulating tumor cells at baseline and at the first follow-up visit were the most significant predictors of progression-free and overall survival. CONCLUSIONS: The number of circulating tumor cells before treatment is an independent predictor of progression-free survival and overall survival in patients with metastatic breast cancer.", "author" : [ { "dropping-particle" : "", "family" : "Cristofanilli", "given" : "Massimo", "non-dropping-particle" : "", "parse-names" : false, "suffix" : "" }, { "dropping-particle" : "", "family" : "Budd", "given" : "G Thomas", "non-dropping-particle" : "", "parse-names" : false, "suffix" : "" }, { "dropping-particle" : "", "family" : "Ellis", "given" : "Matthew J", "non-dropping-particle" : "", "parse-names" : false, "suffix" : "" }, { "dropping-particle" : "", "family" : "Stopeck", "given" : "Alison", "non-dropping-particle" : "", "parse-names" : false, "suffix" : "" }, { "dropping-particle" : "", "family" : "Matera", "given" : "Jeri", "non-dropping-particle" : "", "parse-names" : false, "suffix" : "" }, { "dropping-particle" : "", "family" : "Miller", "given" : "M Craig", "non-dropping-particle" : "", "parse-names" : false, "suffix" : "" }, { "dropping-particle" : "", "family" : "Reuben", "given" : "James M", "non-dropping-particle" : "", "parse-names" : false, "suffix" : "" }, { "dropping-particle" : "V", "family" : "Doyle", "given" : "Gerald", "non-dropping-particle" : "", "parse-names" : false, "suffix" : "" }, { "dropping-particle" : "", "family" : "Allard", "given" : "W Jeffrey", "non-dropping-particle" : "", "parse-names" : false, "suffix" : "" }, { "dropping-particle" : "", "family" : "Terstappen", "given" : "Leon W M M", "non-dropping-particle" : "", "parse-names" : false, "suffix" : "" }, { "dropping-particle" : "", "family" : "Hayes", "given" : "Daniel F", "non-dropping-particle" : "", "parse-names" : false, "suffix" : "" } ], "container-title" : "The New England journal of medicine", "id" : "ITEM-1", "issue" : "8", "issued" : { "date-parts" : [ [ "2004", "8" ] ] }, "page" : "781-91", "title" : "Circulating tumor cells, disease progression, and survival in metastatic breast cancer.", "type" : "article-journal", "volume" : "351" }, "uris" : [ "http://www.mendeley.com/documents/?uuid=f0f96870-40c2-4219-af60-a26756fec374" ] }, { "id" : "ITEM-2", "itemData" : { "DOI" : "10.1158/1078-0432.CCR-08-0872", "ISSN" : "1078-0432", "PMID" : "18829513", "abstract" : "A method for enumerating circulating tumor cells (CTC) has received regulatory clearance. The primary objective of this prospective study was to establish the relationship between posttreatment CTC count and overall survival (OS) in castration-resistant prostate cancer (CRPC). Secondary objectives included determining the prognostic utility of CTC measurement before initiating therapy, and the relationship of CTC to prostate-specific antigen (PSA) changes and OS at these and other time points.", "author" : [ { "dropping-particle" : "", "family" : "Bono", "given" : "Johann S", "non-dropping-particle" : "de", "parse-names" : false, "suffix" : "" }, { "dropping-particle" : "", "family" : "Scher", "given" : "Howard I", "non-dropping-particle" : "", "parse-names" : false, "suffix" : "" }, { "dropping-particle" : "", "family" : "Montgomery", "given" : "R Bruce", "non-dropping-particle" : "", "parse-names" : false, "suffix" : "" }, { "dropping-particle" : "", "family" : "Parker", "given" : "Christopher", "non-dropping-particle" : "", "parse-names" : false, "suffix" : "" }, { "dropping-particle" : "", "family" : "Miller", "given" : "M Craig", "non-dropping-particle" : "", "parse-names" : false, "suffix" : "" }, { "dropping-particle" : "", "family" : "Tissing", "given" : "Henk", "non-dropping-particle" : "", "parse-names" : false, "suffix" : "" }, { "dropping-particle" : "V", "family" : "Doyle", "given" : "Gerald", "non-dropping-particle" : "", "parse-names" : false, "suffix" : "" }, { "dropping-particle" : "", "family" : "Terstappen", "given" : "Leon W W M", "non-dropping-particle" : "", "parse-names" : false, "suffix" : "" }, { "dropping-particle" : "", "family" : "Pienta", "given" : "Kenneth J", "non-dropping-particle" : "", "parse-names" : false, "suffix" : "" }, { "dropping-particle" : "", "family" : "Raghavan", "given" : "Derek", "non-dropping-particle" : "", "parse-names" : false, "suffix" : "" } ], "container-title" : "Clinical cancer research : an official journal of the American Association for Cancer Research", "id" : "ITEM-2", "issue" : "19", "issued" : { "date-parts" : [ [ "2008", "10", "1" ] ] }, "page" : "6302-9", "title" : "Circulating tumor cells predict survival benefit from treatment in metastatic castration-resistant prostate cancer.", "type" : "article-journal", "volume" : "14" }, "uris" : [ "http://www.mendeley.com/documents/?uuid=3e8de426-4d01-4af7-9b65-80421d93c3a4" ] }, { "id" : "ITEM-3", "itemData" : { "DOI" : "10.1093/annonc/mdn786", "ISSN" : "1569-8041", "PMID" : "19282466", "abstract" : "BACKGROUND: We demonstrated that circulating tumor cell (CTC) number at baseline and follow-up is an independent prognostic factor in metastatic colorectal cancer (mCRC). This analysis was undertaken to explore whether patient and treatment characteristics impact the prognostic value of CTCs. PATIENTS AND METHODS: CTCs were enumerated with immunomagnetic separation from the blood of 430 patients with mCRC at baseline and on therapy. Patients were stratified into unfavorable and favorable prognostic groups based on CTC levels of &gt; or = 3 or &lt;3 CTCs/7.5 ml, respectively. Subgroups were analyzed by line of treatment, liver involvement, receipt of oxaliplatin, irinotecan, or bevacizumab, age, and Eastern Cooperative Oncology Group performance status (ECOG PS). RESULTS: Seventy-one percent of deaths have occurred. Median follow-up for living patients is 25.8 months. For all patients, progression-free survival (PFS) and overall survival (OS) for unfavorable compared with favorable baseline CTCs is shorter (4.4 versus 7.8 m, P = 0.004 for PFS; 9.4 versus 20.6 m, P &lt; 0.0001 for OS). In all patient subgroups, unfavorable baseline CTC was associated with inferior OS (P &lt; 0.001). In patients receiving first- or second-line therapy (P = 0.003), irinotecan (P = 0.0001), having liver involvement (P = 0.002), &gt;/=65 years (P = 0.0007), and ECOG PS of zero (P = 0.04), unfavorable baseline CTC was associated with inferior PFS. CONCLUSION: Baseline CTC count is an important prognostic factor within specific subgroups defined by treatment or patient characteristics.", "author" : [ { "dropping-particle" : "", "family" : "Cohen", "given" : "S J", "non-dropping-particle" : "", "parse-names" : false, "suffix" : "" }, { "dropping-particle" : "", "family" : "Punt", "given" : "C J a", "non-dropping-particle" : "", "parse-names" : false, "suffix" : "" }, { "dropping-particle" : "", "family" : "Iannotti", "given" : "N", "non-dropping-particle" : "", "parse-names" : false, "suffix" : "" }, { "dropping-particle" : "", "family" : "Saidman", "given" : "B H", "non-dropping-particle" : "", "parse-names" : false, "suffix" : "" }, { "dropping-particle" : "", "family" : "Sabbath", "given" : "K D", "non-dropping-particle" : "", "parse-names" : false, "suffix" : "" }, { "dropping-particle" : "", "family" : "Gabrail", "given" : "N Y", "non-dropping-particle" : "", "parse-names" : false, "suffix" : "" }, { "dropping-particle" : "", "family" : "Picus", "given" : "J", "non-dropping-particle" : "", "parse-names" : false, "suffix" : "" }, { "dropping-particle" : "", "family" : "Morse", "given" : "M a", "non-dropping-particle" : "", "parse-names" : false, "suffix" : "" }, { "dropping-particle" : "", "family" : "Mitchell", "given" : "E", "non-dropping-particle" : "", "parse-names" : false, "suffix" : "" }, { "dropping-particle" : "", "family" : "Miller", "given" : "M C", "non-dropping-particle" : "", "parse-names" : false, "suffix" : "" }, { "dropping-particle" : "V", "family" : "Doyle", "given" : "G", "non-dropping-particle" : "", "parse-names" : false, "suffix" : "" }, { "dropping-particle" : "", "family" : "Tissing", "given" : "H", "non-dropping-particle" : "", "parse-names" : false, "suffix" : "" }, { "dropping-particle" : "", "family" : "Terstappen", "given" : "L W M M", "non-dropping-particle" : "", "parse-names" : false, "suffix" : "" }, { "dropping-particle" : "", "family" : "Meropol", "given" : "N J", "non-dropping-particle" : "", "parse-names" : false, "suffix" : "" } ], "container-title" : "Annals of oncology : official journal of the European Society for Medical Oncology / ESMO", "id" : "ITEM-3", "issue" : "7", "issued" : { "date-parts" : [ [ "2009", "7" ] ] }, "page" : "1223-9", "title" : "Prognostic significance of circulating tumor cells in patients with metastatic colorectal cancer.", "type" : "article-journal", "volume" : "20" }, "uris" : [ "http://www.mendeley.com/documents/?uuid=b15dc6ce-cf98-4146-832a-2d1e87856d9e" ] } ], "mendeley" : { "previouslyFormattedCitation" : "&lt;sup&gt;4\u20136&lt;/sup&gt;"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4–6</w:t>
      </w:r>
      <w:r w:rsidR="0036708D" w:rsidRPr="007E40FA">
        <w:rPr>
          <w:rFonts w:ascii="Times New Roman" w:hAnsi="Times New Roman"/>
          <w:sz w:val="24"/>
          <w:szCs w:val="24"/>
        </w:rPr>
        <w:fldChar w:fldCharType="end"/>
      </w:r>
      <w:r w:rsidR="006A3BD5" w:rsidRPr="007E40FA">
        <w:rPr>
          <w:rFonts w:ascii="Times New Roman" w:hAnsi="Times New Roman"/>
          <w:sz w:val="24"/>
          <w:szCs w:val="24"/>
        </w:rPr>
        <w:t xml:space="preserve">. This </w:t>
      </w:r>
      <w:r w:rsidR="004B191B" w:rsidRPr="007E40FA">
        <w:rPr>
          <w:rFonts w:ascii="Times New Roman" w:hAnsi="Times New Roman"/>
          <w:sz w:val="24"/>
          <w:szCs w:val="24"/>
        </w:rPr>
        <w:t xml:space="preserve">platform </w:t>
      </w:r>
      <w:r w:rsidR="006A3BD5" w:rsidRPr="007E40FA">
        <w:rPr>
          <w:rFonts w:ascii="Times New Roman" w:hAnsi="Times New Roman"/>
          <w:sz w:val="24"/>
          <w:szCs w:val="24"/>
        </w:rPr>
        <w:t xml:space="preserve">is currently considered the gold standard in CTC enumeration and </w:t>
      </w:r>
      <w:r w:rsidR="004B191B" w:rsidRPr="007E40FA">
        <w:rPr>
          <w:rFonts w:ascii="Times New Roman" w:hAnsi="Times New Roman"/>
          <w:sz w:val="24"/>
          <w:szCs w:val="24"/>
        </w:rPr>
        <w:t xml:space="preserve">is the </w:t>
      </w:r>
      <w:r w:rsidR="006A3BD5" w:rsidRPr="007E40FA">
        <w:rPr>
          <w:rFonts w:ascii="Times New Roman" w:hAnsi="Times New Roman"/>
          <w:sz w:val="24"/>
          <w:szCs w:val="24"/>
        </w:rPr>
        <w:t>only technique approved</w:t>
      </w:r>
      <w:r w:rsidR="004B191B" w:rsidRPr="007E40FA">
        <w:rPr>
          <w:rFonts w:ascii="Times New Roman" w:hAnsi="Times New Roman"/>
          <w:sz w:val="24"/>
          <w:szCs w:val="24"/>
        </w:rPr>
        <w:t xml:space="preserve"> by the U.S. Food and Drug Administration (FDA) </w:t>
      </w:r>
      <w:r w:rsidR="006A3BD5" w:rsidRPr="007E40FA">
        <w:rPr>
          <w:rFonts w:ascii="Times New Roman" w:hAnsi="Times New Roman"/>
          <w:sz w:val="24"/>
          <w:szCs w:val="24"/>
        </w:rPr>
        <w:t>for use in the clinic</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"10.1186/1479-5876-10-138", "ISSN" : "1479-5876", "PMID" : "22747748", "abstract" : "This manuscript summarizes current thinking on the value and promise of evolving circulating tumor cell (CTC) technologies for cancer patient diagnosis, prognosis, and response to therapy, as well as accelerating oncologic drug development. Moving forward requires the application of the classic steps in biomarker development-analytical and clinical validation and clinical qualification for specific contexts of use. To that end, this review describes methods for interactive comparisons of proprietary new technologies, clinical trial designs, a clinical validation qualification strategy, and an approach for effectively carrying out this work through a public-private partnership that includes test developers, drug developers, clinical trialists, the US Food &amp; Drug Administration (FDA) and the US National Cancer Institute (NCI).", "author" : [ { "dropping-particle" : "", "family" : "Parkinson", "given" : "David R", "non-dropping-particle" : "", "parse-names" : false, "suffix" : "" }, { "dropping-particle" : "", "family" : "Dracopoli", "given" : "Nicholas", "non-dropping-particle" : "", "parse-names" : false, "suffix" : "" }, { "dropping-particle" : "", "family" : "Petty", "given" : "Brenda Gumbs", "non-dropping-particle" : "", "parse-names" : false, "suffix" : "" }, { "dropping-particle" : "", "family" : "Compton", "given" : "Carolyn", "non-dropping-particle" : "", "parse-names" : false, "suffix" : "" }, { "dropping-particle" : "", "family" : "Cristofanilli", "given" : "Massimo", "non-dropping-particle" : "", "parse-names" : false, "suffix" : "" }, { "dropping-particle" : "", "family" : "Deisseroth", "given" : "Albert", "non-dropping-particle" : "", "parse-names" : false, "suffix" : "" }, { "dropping-particle" : "", "family" : "Hayes", "given" : "Daniel F", "non-dropping-particle" : "", "parse-names" : false, "suffix" : "" }, { "dropping-particle" : "", "family" : "Kapke", "given" : "Gordon", "non-dropping-particle" : "", "parse-names" : false, "suffix" : "" }, { "dropping-particle" : "", "family" : "Kumar", "given" : "Prasanna", "non-dropping-particle" : "", "parse-names" : false, "suffix" : "" }, { "dropping-particle" : "", "family" : "Lee", "given" : "Jerry Sh", "non-dropping-particle" : "", "parse-names" : false, "suffix" : "" }, { "dropping-particle" : "", "family" : "Liu", "given" : "Minetta C", "non-dropping-particle" : "", "parse-names" : false, "suffix" : "" }, { "dropping-particle" : "", "family" : "McCormack", "given" : "Robert", "non-dropping-particle" : "", "parse-names" : false, "suffix" : "" }, { "dropping-particle" : "", "family" : "Mikulski", "given" : "Stanislaw", "non-dropping-particle" : "", "parse-names" : false, "suffix" : "" }, { "dropping-particle" : "", "family" : "Nagahara", "given" : "Larry", "non-dropping-particle" : "", "parse-names" : false, "suffix" : "" }, { "dropping-particle" : "", "family" : "Pantel", "given" : "Klaus", "non-dropping-particle" : "", "parse-names" : false, "suffix" : "" }, { "dropping-particle" : "", "family" : "Pearson-White", "given" : "Sonia", "non-dropping-particle" : "", "parse-names" : false, "suffix" : "" }, { "dropping-particle" : "", "family" : "Punnoose", "given" : "Elizabeth A", "non-dropping-particle" : "", "parse-names" : false, "suffix" : "" }, { "dropping-particle" : "", "family" : "Roadcap", "given" : "Lori T", "non-dropping-particle" : "", "parse-names" : false, "suffix" : "" }, { "dropping-particle" : "", "family" : "Schade", "given" : "Andrew E", "non-dropping-particle" : "", "parse-names" : false, "suffix" : "" }, { "dropping-particle" : "", "family" : "Scher", "given" : "Howard I", "non-dropping-particle" : "", "parse-names" : false, "suffix" : "" }, { "dropping-particle" : "", "family" : "Sigman", "given" : "Caroline C", "non-dropping-particle" : "", "parse-names" : false, "suffix" : "" }, { "dropping-particle" : "", "family" : "Kelloff", "given" : "Gary J", "non-dropping-particle" : "", "parse-names" : false, "suffix" : "" } ], "container-title" : "Journal of translational medicine", "id" : "ITEM-1", "issued" : { "date-parts" : [ [ "2012", "1" ] ] }, "page" : "138", "title" : "Considerations in the development of circulating tumor cell technology for clinical use.", "type" : "article-journal", "volume" : "10" }, "uris" : [ "http://www.mendeley.com/documents/?uuid=32f3bec0-b254-4419-8968-8a2fdd5d9acc" ] } ], "mendeley" : { "previouslyFormattedCitation" : "&lt;sup&gt;15&lt;/sup&gt;"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15</w:t>
      </w:r>
      <w:r w:rsidR="0036708D" w:rsidRPr="007E40FA">
        <w:rPr>
          <w:rFonts w:ascii="Times New Roman" w:hAnsi="Times New Roman"/>
          <w:sz w:val="24"/>
          <w:szCs w:val="24"/>
        </w:rPr>
        <w:fldChar w:fldCharType="end"/>
      </w:r>
      <w:r w:rsidR="006A3BD5" w:rsidRPr="007E40FA">
        <w:rPr>
          <w:rFonts w:ascii="Times New Roman" w:hAnsi="Times New Roman"/>
          <w:sz w:val="24"/>
          <w:szCs w:val="24"/>
        </w:rPr>
        <w:t>.</w:t>
      </w:r>
    </w:p>
    <w:p w:rsidR="00041704" w:rsidRPr="007E40FA" w:rsidRDefault="00041704" w:rsidP="001F0875">
      <w:pPr>
        <w:spacing w:after="0" w:line="240" w:lineRule="auto"/>
        <w:jc w:val="both"/>
        <w:rPr>
          <w:rFonts w:ascii="Times New Roman" w:hAnsi="Times New Roman"/>
          <w:sz w:val="24"/>
          <w:szCs w:val="24"/>
        </w:rPr>
      </w:pPr>
    </w:p>
    <w:p w:rsidR="00041704" w:rsidRPr="007E40FA" w:rsidRDefault="00041704" w:rsidP="001F0875">
      <w:pPr>
        <w:spacing w:after="0" w:line="240" w:lineRule="auto"/>
        <w:jc w:val="both"/>
        <w:rPr>
          <w:rFonts w:ascii="Times New Roman" w:hAnsi="Times New Roman"/>
          <w:sz w:val="24"/>
          <w:szCs w:val="24"/>
        </w:rPr>
      </w:pPr>
      <w:r w:rsidRPr="007E40FA">
        <w:rPr>
          <w:rFonts w:ascii="Times New Roman" w:hAnsi="Times New Roman"/>
          <w:sz w:val="24"/>
          <w:szCs w:val="24"/>
        </w:rPr>
        <w:t xml:space="preserve">The </w:t>
      </w:r>
      <w:r w:rsidR="004C0272" w:rsidRPr="007E40FA">
        <w:rPr>
          <w:rFonts w:ascii="Times New Roman" w:hAnsi="Times New Roman"/>
          <w:sz w:val="24"/>
          <w:szCs w:val="24"/>
        </w:rPr>
        <w:t>CSS</w:t>
      </w:r>
      <w:r w:rsidRPr="007E40FA">
        <w:rPr>
          <w:rFonts w:ascii="Times New Roman" w:hAnsi="Times New Roman"/>
          <w:sz w:val="24"/>
          <w:szCs w:val="24"/>
        </w:rPr>
        <w:t xml:space="preserve"> </w:t>
      </w:r>
      <w:r w:rsidR="004B191B" w:rsidRPr="007E40FA">
        <w:rPr>
          <w:rFonts w:ascii="Times New Roman" w:hAnsi="Times New Roman"/>
          <w:sz w:val="24"/>
          <w:szCs w:val="24"/>
        </w:rPr>
        <w:t>is a t</w:t>
      </w:r>
      <w:r w:rsidRPr="007E40FA">
        <w:rPr>
          <w:rFonts w:ascii="Times New Roman" w:hAnsi="Times New Roman"/>
          <w:sz w:val="24"/>
          <w:szCs w:val="24"/>
        </w:rPr>
        <w:t>wo component</w:t>
      </w:r>
      <w:r w:rsidR="004B191B" w:rsidRPr="007E40FA">
        <w:rPr>
          <w:rFonts w:ascii="Times New Roman" w:hAnsi="Times New Roman"/>
          <w:sz w:val="24"/>
          <w:szCs w:val="24"/>
        </w:rPr>
        <w:t xml:space="preserve"> platform consisting of, </w:t>
      </w:r>
      <w:r w:rsidRPr="007E40FA">
        <w:rPr>
          <w:rFonts w:ascii="Times New Roman" w:hAnsi="Times New Roman"/>
          <w:b/>
          <w:i/>
          <w:sz w:val="24"/>
          <w:szCs w:val="24"/>
        </w:rPr>
        <w:t>(1)</w:t>
      </w:r>
      <w:r w:rsidRPr="007E40FA">
        <w:rPr>
          <w:rFonts w:ascii="Times New Roman" w:hAnsi="Times New Roman"/>
          <w:sz w:val="24"/>
          <w:szCs w:val="24"/>
        </w:rPr>
        <w:t xml:space="preserve"> the </w:t>
      </w:r>
      <w:proofErr w:type="spellStart"/>
      <w:r w:rsidRPr="007E40FA">
        <w:rPr>
          <w:rFonts w:ascii="Times New Roman" w:hAnsi="Times New Roman"/>
          <w:sz w:val="24"/>
          <w:szCs w:val="24"/>
        </w:rPr>
        <w:t>CellTracks</w:t>
      </w:r>
      <w:proofErr w:type="spellEnd"/>
      <w:r w:rsidRPr="007E40FA">
        <w:rPr>
          <w:rFonts w:ascii="Times New Roman" w:hAnsi="Times New Roman"/>
          <w:sz w:val="24"/>
          <w:szCs w:val="24"/>
        </w:rPr>
        <w:t xml:space="preserve"> </w:t>
      </w:r>
      <w:proofErr w:type="spellStart"/>
      <w:r w:rsidRPr="007E40FA">
        <w:rPr>
          <w:rFonts w:ascii="Times New Roman" w:hAnsi="Times New Roman"/>
          <w:sz w:val="24"/>
          <w:szCs w:val="24"/>
        </w:rPr>
        <w:t>AutoPrep</w:t>
      </w:r>
      <w:proofErr w:type="spellEnd"/>
      <w:r w:rsidRPr="007E40FA">
        <w:rPr>
          <w:rFonts w:ascii="Times New Roman" w:hAnsi="Times New Roman"/>
          <w:sz w:val="24"/>
          <w:szCs w:val="24"/>
        </w:rPr>
        <w:t xml:space="preserve"> system</w:t>
      </w:r>
      <w:r w:rsidR="004C0272" w:rsidRPr="007E40FA">
        <w:rPr>
          <w:rFonts w:ascii="Times New Roman" w:hAnsi="Times New Roman"/>
          <w:sz w:val="24"/>
          <w:szCs w:val="24"/>
        </w:rPr>
        <w:t xml:space="preserve"> (hereafter referred to as the preparation instrument)</w:t>
      </w:r>
      <w:r w:rsidRPr="007E40FA">
        <w:rPr>
          <w:rFonts w:ascii="Times New Roman" w:hAnsi="Times New Roman"/>
          <w:sz w:val="24"/>
          <w:szCs w:val="24"/>
        </w:rPr>
        <w:t xml:space="preserve">, which automates the </w:t>
      </w:r>
      <w:r w:rsidR="004B191B" w:rsidRPr="007E40FA">
        <w:rPr>
          <w:rFonts w:ascii="Times New Roman" w:hAnsi="Times New Roman"/>
          <w:sz w:val="24"/>
          <w:szCs w:val="24"/>
        </w:rPr>
        <w:t xml:space="preserve">preparation of human </w:t>
      </w:r>
      <w:r w:rsidRPr="007E40FA">
        <w:rPr>
          <w:rFonts w:ascii="Times New Roman" w:hAnsi="Times New Roman"/>
          <w:sz w:val="24"/>
          <w:szCs w:val="24"/>
        </w:rPr>
        <w:t>blood sample</w:t>
      </w:r>
      <w:r w:rsidR="004B191B" w:rsidRPr="007E40FA">
        <w:rPr>
          <w:rFonts w:ascii="Times New Roman" w:hAnsi="Times New Roman"/>
          <w:sz w:val="24"/>
          <w:szCs w:val="24"/>
        </w:rPr>
        <w:t>s</w:t>
      </w:r>
      <w:r w:rsidRPr="007E40FA">
        <w:rPr>
          <w:rFonts w:ascii="Times New Roman" w:hAnsi="Times New Roman"/>
          <w:sz w:val="24"/>
          <w:szCs w:val="24"/>
        </w:rPr>
        <w:t xml:space="preserve">, and </w:t>
      </w:r>
      <w:r w:rsidRPr="007E40FA">
        <w:rPr>
          <w:rFonts w:ascii="Times New Roman" w:hAnsi="Times New Roman"/>
          <w:b/>
          <w:i/>
          <w:sz w:val="24"/>
          <w:szCs w:val="24"/>
        </w:rPr>
        <w:t>(2)</w:t>
      </w:r>
      <w:r w:rsidRPr="007E40FA">
        <w:rPr>
          <w:rFonts w:ascii="Times New Roman" w:hAnsi="Times New Roman"/>
          <w:sz w:val="24"/>
          <w:szCs w:val="24"/>
        </w:rPr>
        <w:t xml:space="preserve"> the </w:t>
      </w:r>
      <w:proofErr w:type="spellStart"/>
      <w:r w:rsidRPr="007E40FA">
        <w:rPr>
          <w:rFonts w:ascii="Times New Roman" w:hAnsi="Times New Roman"/>
          <w:sz w:val="24"/>
          <w:szCs w:val="24"/>
        </w:rPr>
        <w:t>CellTracks</w:t>
      </w:r>
      <w:proofErr w:type="spellEnd"/>
      <w:r w:rsidRPr="007E40FA">
        <w:rPr>
          <w:rFonts w:ascii="Times New Roman" w:hAnsi="Times New Roman"/>
          <w:sz w:val="24"/>
          <w:szCs w:val="24"/>
        </w:rPr>
        <w:t xml:space="preserve"> Analyzer II</w:t>
      </w:r>
      <w:r w:rsidR="004C0272" w:rsidRPr="007E40FA">
        <w:rPr>
          <w:rFonts w:ascii="Times New Roman" w:hAnsi="Times New Roman"/>
          <w:sz w:val="24"/>
          <w:szCs w:val="24"/>
        </w:rPr>
        <w:t xml:space="preserve"> (hereafter referred to as the analysis instrument)</w:t>
      </w:r>
      <w:r w:rsidRPr="007E40FA">
        <w:rPr>
          <w:rFonts w:ascii="Times New Roman" w:hAnsi="Times New Roman"/>
          <w:sz w:val="24"/>
          <w:szCs w:val="24"/>
        </w:rPr>
        <w:t>, which scans the</w:t>
      </w:r>
      <w:r w:rsidR="004B191B" w:rsidRPr="007E40FA">
        <w:rPr>
          <w:rFonts w:ascii="Times New Roman" w:hAnsi="Times New Roman"/>
          <w:sz w:val="24"/>
          <w:szCs w:val="24"/>
        </w:rPr>
        <w:t>se</w:t>
      </w:r>
      <w:r w:rsidRPr="007E40FA">
        <w:rPr>
          <w:rFonts w:ascii="Times New Roman" w:hAnsi="Times New Roman"/>
          <w:sz w:val="24"/>
          <w:szCs w:val="24"/>
        </w:rPr>
        <w:t xml:space="preserve"> </w:t>
      </w:r>
      <w:r w:rsidR="004B191B" w:rsidRPr="007E40FA">
        <w:rPr>
          <w:rFonts w:ascii="Times New Roman" w:hAnsi="Times New Roman"/>
          <w:sz w:val="24"/>
          <w:szCs w:val="24"/>
        </w:rPr>
        <w:t>samples following preparation</w:t>
      </w:r>
      <w:r w:rsidRPr="007E40FA">
        <w:rPr>
          <w:rFonts w:ascii="Times New Roman" w:hAnsi="Times New Roman"/>
          <w:sz w:val="24"/>
          <w:szCs w:val="24"/>
        </w:rPr>
        <w:t>. T</w:t>
      </w:r>
      <w:r w:rsidR="004B191B" w:rsidRPr="007E40FA">
        <w:rPr>
          <w:rFonts w:ascii="Times New Roman" w:hAnsi="Times New Roman"/>
          <w:sz w:val="24"/>
          <w:szCs w:val="24"/>
        </w:rPr>
        <w:t>o distinguish CTCs from contaminating leukocytes t</w:t>
      </w:r>
      <w:r w:rsidRPr="007E40FA">
        <w:rPr>
          <w:rFonts w:ascii="Times New Roman" w:hAnsi="Times New Roman"/>
          <w:sz w:val="24"/>
          <w:szCs w:val="24"/>
        </w:rPr>
        <w:t xml:space="preserve">he </w:t>
      </w:r>
      <w:r w:rsidR="004C0272" w:rsidRPr="007E40FA">
        <w:rPr>
          <w:rFonts w:ascii="Times New Roman" w:hAnsi="Times New Roman"/>
          <w:sz w:val="24"/>
          <w:szCs w:val="24"/>
        </w:rPr>
        <w:t>preparation instrument</w:t>
      </w:r>
      <w:r w:rsidRPr="007E40FA">
        <w:rPr>
          <w:rFonts w:ascii="Times New Roman" w:hAnsi="Times New Roman"/>
          <w:sz w:val="24"/>
          <w:szCs w:val="24"/>
        </w:rPr>
        <w:t xml:space="preserve"> </w:t>
      </w:r>
      <w:r w:rsidR="004B191B" w:rsidRPr="007E40FA">
        <w:rPr>
          <w:rFonts w:ascii="Times New Roman" w:hAnsi="Times New Roman"/>
          <w:sz w:val="24"/>
          <w:szCs w:val="24"/>
        </w:rPr>
        <w:t xml:space="preserve">employs </w:t>
      </w:r>
      <w:r w:rsidRPr="007E40FA">
        <w:rPr>
          <w:rFonts w:ascii="Times New Roman" w:hAnsi="Times New Roman"/>
          <w:sz w:val="24"/>
          <w:szCs w:val="24"/>
        </w:rPr>
        <w:t xml:space="preserve">an antibody mediated, </w:t>
      </w:r>
      <w:proofErr w:type="spellStart"/>
      <w:r w:rsidRPr="007E40FA">
        <w:rPr>
          <w:rFonts w:ascii="Times New Roman" w:hAnsi="Times New Roman"/>
          <w:sz w:val="24"/>
          <w:szCs w:val="24"/>
        </w:rPr>
        <w:t>ferrofluid</w:t>
      </w:r>
      <w:proofErr w:type="spellEnd"/>
      <w:r w:rsidRPr="007E40FA">
        <w:rPr>
          <w:rFonts w:ascii="Times New Roman" w:hAnsi="Times New Roman"/>
          <w:sz w:val="24"/>
          <w:szCs w:val="24"/>
        </w:rPr>
        <w:t xml:space="preserve">-based magnetic separation </w:t>
      </w:r>
      <w:r w:rsidR="004B191B" w:rsidRPr="007E40FA">
        <w:rPr>
          <w:rFonts w:ascii="Times New Roman" w:hAnsi="Times New Roman"/>
          <w:sz w:val="24"/>
          <w:szCs w:val="24"/>
        </w:rPr>
        <w:t xml:space="preserve">approach </w:t>
      </w:r>
      <w:r w:rsidRPr="007E40FA">
        <w:rPr>
          <w:rFonts w:ascii="Times New Roman" w:hAnsi="Times New Roman"/>
          <w:sz w:val="24"/>
          <w:szCs w:val="24"/>
        </w:rPr>
        <w:t xml:space="preserve">and differential </w:t>
      </w:r>
      <w:r w:rsidR="002B1A00" w:rsidRPr="007E40FA">
        <w:rPr>
          <w:rFonts w:ascii="Times New Roman" w:hAnsi="Times New Roman"/>
          <w:sz w:val="24"/>
          <w:szCs w:val="24"/>
        </w:rPr>
        <w:t>fluorescence staining</w:t>
      </w:r>
      <w:r w:rsidRPr="007E40FA">
        <w:rPr>
          <w:rFonts w:ascii="Times New Roman" w:hAnsi="Times New Roman"/>
          <w:sz w:val="24"/>
          <w:szCs w:val="24"/>
        </w:rPr>
        <w:t xml:space="preserve">. Initially, the system </w:t>
      </w:r>
      <w:r w:rsidR="002B1A00" w:rsidRPr="007E40FA">
        <w:rPr>
          <w:rFonts w:ascii="Times New Roman" w:hAnsi="Times New Roman"/>
          <w:sz w:val="24"/>
          <w:szCs w:val="24"/>
        </w:rPr>
        <w:t>labels CTCs using anti-</w:t>
      </w:r>
      <w:proofErr w:type="spellStart"/>
      <w:r w:rsidR="002B1A00" w:rsidRPr="007E40FA">
        <w:rPr>
          <w:rFonts w:ascii="Times New Roman" w:hAnsi="Times New Roman"/>
          <w:sz w:val="24"/>
          <w:szCs w:val="24"/>
        </w:rPr>
        <w:t>EpCAM</w:t>
      </w:r>
      <w:proofErr w:type="spellEnd"/>
      <w:r w:rsidR="002B1A00" w:rsidRPr="007E40FA">
        <w:rPr>
          <w:rFonts w:ascii="Times New Roman" w:hAnsi="Times New Roman"/>
          <w:sz w:val="24"/>
          <w:szCs w:val="24"/>
        </w:rPr>
        <w:t xml:space="preserve"> antibodies conjugated to iron nanoparticles. The sample is then incubated in a magnetic field, and all unlabeled cells are aspirated. S</w:t>
      </w:r>
      <w:r w:rsidRPr="007E40FA">
        <w:rPr>
          <w:rFonts w:ascii="Times New Roman" w:hAnsi="Times New Roman"/>
          <w:sz w:val="24"/>
          <w:szCs w:val="24"/>
        </w:rPr>
        <w:t xml:space="preserve">elected tumor cells are </w:t>
      </w:r>
      <w:proofErr w:type="spellStart"/>
      <w:r w:rsidRPr="007E40FA">
        <w:rPr>
          <w:rFonts w:ascii="Times New Roman" w:hAnsi="Times New Roman"/>
          <w:sz w:val="24"/>
          <w:szCs w:val="24"/>
        </w:rPr>
        <w:t>resuspended</w:t>
      </w:r>
      <w:proofErr w:type="spellEnd"/>
      <w:r w:rsidRPr="007E40FA">
        <w:rPr>
          <w:rFonts w:ascii="Times New Roman" w:hAnsi="Times New Roman"/>
          <w:sz w:val="24"/>
          <w:szCs w:val="24"/>
        </w:rPr>
        <w:t xml:space="preserve">, and </w:t>
      </w:r>
      <w:r w:rsidR="002B1A00" w:rsidRPr="007E40FA">
        <w:rPr>
          <w:rFonts w:ascii="Times New Roman" w:hAnsi="Times New Roman"/>
          <w:sz w:val="24"/>
          <w:szCs w:val="24"/>
        </w:rPr>
        <w:t xml:space="preserve">incubated in a differential fluorescence stain, consisting of </w:t>
      </w:r>
      <w:r w:rsidRPr="007E40FA">
        <w:rPr>
          <w:rFonts w:ascii="Times New Roman" w:hAnsi="Times New Roman"/>
          <w:sz w:val="24"/>
          <w:szCs w:val="24"/>
        </w:rPr>
        <w:t xml:space="preserve">fluorescently-labelled antibodies and </w:t>
      </w:r>
      <w:r w:rsidR="002B1A00" w:rsidRPr="007E40FA">
        <w:rPr>
          <w:rFonts w:ascii="Times New Roman" w:hAnsi="Times New Roman"/>
          <w:sz w:val="24"/>
          <w:szCs w:val="24"/>
        </w:rPr>
        <w:t xml:space="preserve">a </w:t>
      </w:r>
      <w:r w:rsidRPr="007E40FA">
        <w:rPr>
          <w:rFonts w:ascii="Times New Roman" w:hAnsi="Times New Roman"/>
          <w:sz w:val="24"/>
          <w:szCs w:val="24"/>
        </w:rPr>
        <w:t>nuclear stain</w:t>
      </w:r>
      <w:r w:rsidR="002B1A00" w:rsidRPr="007E40FA">
        <w:rPr>
          <w:rFonts w:ascii="Times New Roman" w:hAnsi="Times New Roman"/>
          <w:sz w:val="24"/>
          <w:szCs w:val="24"/>
        </w:rPr>
        <w:t>ing reagent</w:t>
      </w:r>
      <w:r w:rsidRPr="007E40FA">
        <w:rPr>
          <w:rFonts w:ascii="Times New Roman" w:hAnsi="Times New Roman"/>
          <w:sz w:val="24"/>
          <w:szCs w:val="24"/>
        </w:rPr>
        <w:t xml:space="preserve">. </w:t>
      </w:r>
      <w:r w:rsidR="002B1A00" w:rsidRPr="007E40FA">
        <w:rPr>
          <w:rFonts w:ascii="Times New Roman" w:hAnsi="Times New Roman"/>
          <w:sz w:val="24"/>
          <w:szCs w:val="24"/>
        </w:rPr>
        <w:t>Finally, the</w:t>
      </w:r>
      <w:r w:rsidRPr="007E40FA">
        <w:rPr>
          <w:rFonts w:ascii="Times New Roman" w:hAnsi="Times New Roman"/>
          <w:sz w:val="24"/>
          <w:szCs w:val="24"/>
        </w:rPr>
        <w:t xml:space="preserve"> sample</w:t>
      </w:r>
      <w:r w:rsidR="002B1A00" w:rsidRPr="007E40FA">
        <w:rPr>
          <w:rFonts w:ascii="Times New Roman" w:hAnsi="Times New Roman"/>
          <w:sz w:val="24"/>
          <w:szCs w:val="24"/>
        </w:rPr>
        <w:t xml:space="preserve"> is transferred to</w:t>
      </w:r>
      <w:r w:rsidRPr="007E40FA">
        <w:rPr>
          <w:rFonts w:ascii="Times New Roman" w:hAnsi="Times New Roman"/>
          <w:sz w:val="24"/>
          <w:szCs w:val="24"/>
        </w:rPr>
        <w:t xml:space="preserve"> a magnetic cartridge, called a </w:t>
      </w:r>
      <w:proofErr w:type="spellStart"/>
      <w:r w:rsidRPr="007E40FA">
        <w:rPr>
          <w:rFonts w:ascii="Times New Roman" w:hAnsi="Times New Roman"/>
          <w:sz w:val="24"/>
          <w:szCs w:val="24"/>
        </w:rPr>
        <w:t>Mag</w:t>
      </w:r>
      <w:r w:rsidR="00910643" w:rsidRPr="007E40FA">
        <w:rPr>
          <w:rFonts w:ascii="Times New Roman" w:hAnsi="Times New Roman"/>
          <w:sz w:val="24"/>
          <w:szCs w:val="24"/>
        </w:rPr>
        <w:t>N</w:t>
      </w:r>
      <w:r w:rsidRPr="007E40FA">
        <w:rPr>
          <w:rFonts w:ascii="Times New Roman" w:hAnsi="Times New Roman"/>
          <w:sz w:val="24"/>
          <w:szCs w:val="24"/>
        </w:rPr>
        <w:t>est</w:t>
      </w:r>
      <w:proofErr w:type="spellEnd"/>
      <w:r w:rsidR="004C0272" w:rsidRPr="007E40FA">
        <w:rPr>
          <w:rFonts w:ascii="Times New Roman" w:hAnsi="Times New Roman"/>
          <w:sz w:val="24"/>
          <w:szCs w:val="24"/>
        </w:rPr>
        <w:t xml:space="preserve"> (hereafter referred to as the magnetic device)</w:t>
      </w:r>
      <w:r w:rsidRPr="007E40FA">
        <w:rPr>
          <w:rFonts w:ascii="Times New Roman" w:hAnsi="Times New Roman"/>
          <w:sz w:val="24"/>
          <w:szCs w:val="24"/>
        </w:rPr>
        <w:t xml:space="preserve">, and scanned using the </w:t>
      </w:r>
      <w:r w:rsidR="004C0272" w:rsidRPr="007E40FA">
        <w:rPr>
          <w:rFonts w:ascii="Times New Roman" w:hAnsi="Times New Roman"/>
          <w:sz w:val="24"/>
          <w:szCs w:val="24"/>
        </w:rPr>
        <w:t>analysis instrument</w:t>
      </w:r>
      <w:r w:rsidRPr="007E40FA">
        <w:rPr>
          <w:rFonts w:ascii="Times New Roman" w:hAnsi="Times New Roman"/>
          <w:sz w:val="24"/>
          <w:szCs w:val="24"/>
        </w:rPr>
        <w:t xml:space="preserve">. </w:t>
      </w:r>
    </w:p>
    <w:p w:rsidR="00041704" w:rsidRPr="007E40FA" w:rsidRDefault="00041704" w:rsidP="001F0875">
      <w:pPr>
        <w:spacing w:after="0" w:line="240" w:lineRule="auto"/>
        <w:jc w:val="both"/>
        <w:rPr>
          <w:rFonts w:ascii="Times New Roman" w:hAnsi="Times New Roman"/>
          <w:sz w:val="24"/>
          <w:szCs w:val="24"/>
        </w:rPr>
      </w:pPr>
      <w:r w:rsidRPr="007E40FA">
        <w:rPr>
          <w:rFonts w:ascii="Times New Roman" w:hAnsi="Times New Roman"/>
          <w:sz w:val="24"/>
          <w:szCs w:val="24"/>
        </w:rPr>
        <w:tab/>
      </w:r>
    </w:p>
    <w:p w:rsidR="00041704" w:rsidRPr="007E40FA" w:rsidRDefault="00041704" w:rsidP="001F0875">
      <w:pPr>
        <w:spacing w:after="0" w:line="240" w:lineRule="auto"/>
        <w:jc w:val="both"/>
        <w:rPr>
          <w:rFonts w:ascii="Times New Roman" w:hAnsi="Times New Roman"/>
          <w:sz w:val="24"/>
          <w:szCs w:val="24"/>
        </w:rPr>
      </w:pPr>
      <w:r w:rsidRPr="007E40FA">
        <w:rPr>
          <w:rFonts w:ascii="Times New Roman" w:hAnsi="Times New Roman"/>
          <w:sz w:val="24"/>
          <w:szCs w:val="24"/>
        </w:rPr>
        <w:lastRenderedPageBreak/>
        <w:t xml:space="preserve">The </w:t>
      </w:r>
      <w:r w:rsidR="004C0272" w:rsidRPr="007E40FA">
        <w:rPr>
          <w:rFonts w:ascii="Times New Roman" w:hAnsi="Times New Roman"/>
          <w:sz w:val="24"/>
          <w:szCs w:val="24"/>
        </w:rPr>
        <w:t>analysis instrument</w:t>
      </w:r>
      <w:r w:rsidRPr="007E40FA">
        <w:rPr>
          <w:rFonts w:ascii="Times New Roman" w:hAnsi="Times New Roman"/>
          <w:sz w:val="24"/>
          <w:szCs w:val="24"/>
        </w:rPr>
        <w:t xml:space="preserve"> </w:t>
      </w:r>
      <w:r w:rsidR="007F3854" w:rsidRPr="007E40FA">
        <w:rPr>
          <w:rFonts w:ascii="Times New Roman" w:hAnsi="Times New Roman"/>
          <w:sz w:val="24"/>
          <w:szCs w:val="24"/>
        </w:rPr>
        <w:t xml:space="preserve">is used to </w:t>
      </w:r>
      <w:r w:rsidRPr="007E40FA">
        <w:rPr>
          <w:rFonts w:ascii="Times New Roman" w:hAnsi="Times New Roman"/>
          <w:sz w:val="24"/>
          <w:szCs w:val="24"/>
        </w:rPr>
        <w:t>scan</w:t>
      </w:r>
      <w:r w:rsidR="009D3085" w:rsidRPr="007E40FA">
        <w:rPr>
          <w:rFonts w:ascii="Times New Roman" w:hAnsi="Times New Roman"/>
          <w:sz w:val="24"/>
          <w:szCs w:val="24"/>
        </w:rPr>
        <w:t xml:space="preserve"> prepared </w:t>
      </w:r>
      <w:r w:rsidRPr="007E40FA">
        <w:rPr>
          <w:rFonts w:ascii="Times New Roman" w:hAnsi="Times New Roman"/>
          <w:sz w:val="24"/>
          <w:szCs w:val="24"/>
        </w:rPr>
        <w:t xml:space="preserve">samples using different </w:t>
      </w:r>
      <w:r w:rsidR="009D3085" w:rsidRPr="007E40FA">
        <w:rPr>
          <w:rFonts w:ascii="Times New Roman" w:hAnsi="Times New Roman"/>
          <w:sz w:val="24"/>
          <w:szCs w:val="24"/>
        </w:rPr>
        <w:t xml:space="preserve">fluorescence </w:t>
      </w:r>
      <w:r w:rsidRPr="007E40FA">
        <w:rPr>
          <w:rFonts w:ascii="Times New Roman" w:hAnsi="Times New Roman"/>
          <w:sz w:val="24"/>
          <w:szCs w:val="24"/>
        </w:rPr>
        <w:t>filters, each optimized to the appropriate fluorescent particle</w:t>
      </w:r>
      <w:r w:rsidR="0074455B" w:rsidRPr="007E40FA">
        <w:rPr>
          <w:rFonts w:ascii="Times New Roman" w:hAnsi="Times New Roman"/>
          <w:sz w:val="24"/>
          <w:szCs w:val="24"/>
        </w:rPr>
        <w:t>,</w:t>
      </w:r>
      <w:r w:rsidR="009D3085" w:rsidRPr="007E40FA">
        <w:rPr>
          <w:rFonts w:ascii="Times New Roman" w:hAnsi="Times New Roman"/>
          <w:sz w:val="24"/>
          <w:szCs w:val="24"/>
        </w:rPr>
        <w:t xml:space="preserve"> using a 10X objective lens</w:t>
      </w:r>
      <w:r w:rsidRPr="007E40FA">
        <w:rPr>
          <w:rFonts w:ascii="Times New Roman" w:hAnsi="Times New Roman"/>
          <w:sz w:val="24"/>
          <w:szCs w:val="24"/>
        </w:rPr>
        <w:t xml:space="preserve">. CTCs are identified </w:t>
      </w:r>
      <w:r w:rsidR="009D3085" w:rsidRPr="007E40FA">
        <w:rPr>
          <w:rFonts w:ascii="Times New Roman" w:hAnsi="Times New Roman"/>
          <w:sz w:val="24"/>
          <w:szCs w:val="24"/>
        </w:rPr>
        <w:t xml:space="preserve">as cells that are bound by </w:t>
      </w:r>
      <w:r w:rsidRPr="007E40FA">
        <w:rPr>
          <w:rFonts w:ascii="Times New Roman" w:hAnsi="Times New Roman"/>
          <w:sz w:val="24"/>
          <w:szCs w:val="24"/>
        </w:rPr>
        <w:t>anti-</w:t>
      </w:r>
      <w:proofErr w:type="spellStart"/>
      <w:r w:rsidRPr="007E40FA">
        <w:rPr>
          <w:rFonts w:ascii="Times New Roman" w:hAnsi="Times New Roman"/>
          <w:sz w:val="24"/>
          <w:szCs w:val="24"/>
        </w:rPr>
        <w:t>EpCAM</w:t>
      </w:r>
      <w:proofErr w:type="spellEnd"/>
      <w:r w:rsidRPr="007E40FA">
        <w:rPr>
          <w:rFonts w:ascii="Times New Roman" w:hAnsi="Times New Roman"/>
          <w:sz w:val="24"/>
          <w:szCs w:val="24"/>
        </w:rPr>
        <w:t>, anti-pan-CK-</w:t>
      </w:r>
      <w:proofErr w:type="spellStart"/>
      <w:r w:rsidRPr="007E40FA">
        <w:rPr>
          <w:rFonts w:ascii="Times New Roman" w:hAnsi="Times New Roman"/>
          <w:sz w:val="24"/>
          <w:szCs w:val="24"/>
        </w:rPr>
        <w:t>phycoerythrin</w:t>
      </w:r>
      <w:proofErr w:type="spellEnd"/>
      <w:r w:rsidRPr="007E40FA">
        <w:rPr>
          <w:rFonts w:ascii="Times New Roman" w:hAnsi="Times New Roman"/>
          <w:sz w:val="24"/>
          <w:szCs w:val="24"/>
        </w:rPr>
        <w:t xml:space="preserve"> (PE) (CK8, 18 and 19), and the </w:t>
      </w:r>
      <w:r w:rsidR="009D3085" w:rsidRPr="007E40FA">
        <w:rPr>
          <w:rFonts w:ascii="Times New Roman" w:hAnsi="Times New Roman"/>
          <w:sz w:val="24"/>
          <w:szCs w:val="24"/>
        </w:rPr>
        <w:t xml:space="preserve">nuclear </w:t>
      </w:r>
      <w:r w:rsidRPr="007E40FA">
        <w:rPr>
          <w:rFonts w:ascii="Times New Roman" w:hAnsi="Times New Roman"/>
          <w:sz w:val="24"/>
          <w:szCs w:val="24"/>
        </w:rPr>
        <w:t xml:space="preserve">stain 4’, 6-diamidino-2-phenylindole (DAPI). </w:t>
      </w:r>
      <w:r w:rsidR="009D3085" w:rsidRPr="007E40FA">
        <w:rPr>
          <w:rFonts w:ascii="Times New Roman" w:hAnsi="Times New Roman"/>
          <w:sz w:val="24"/>
          <w:szCs w:val="24"/>
        </w:rPr>
        <w:t>Conversely, contaminating l</w:t>
      </w:r>
      <w:r w:rsidRPr="007E40FA">
        <w:rPr>
          <w:rFonts w:ascii="Times New Roman" w:hAnsi="Times New Roman"/>
          <w:sz w:val="24"/>
          <w:szCs w:val="24"/>
        </w:rPr>
        <w:t xml:space="preserve">eukocytes are identified </w:t>
      </w:r>
      <w:r w:rsidR="009D3085" w:rsidRPr="007E40FA">
        <w:rPr>
          <w:rFonts w:ascii="Times New Roman" w:hAnsi="Times New Roman"/>
          <w:sz w:val="24"/>
          <w:szCs w:val="24"/>
        </w:rPr>
        <w:t>as cells that are bound by</w:t>
      </w:r>
      <w:r w:rsidRPr="007E40FA">
        <w:rPr>
          <w:rFonts w:ascii="Times New Roman" w:hAnsi="Times New Roman"/>
          <w:sz w:val="24"/>
          <w:szCs w:val="24"/>
        </w:rPr>
        <w:t xml:space="preserve"> anti-CD45-allophycocyanin (APC) and DAPI. </w:t>
      </w:r>
      <w:r w:rsidR="009D3085" w:rsidRPr="007E40FA">
        <w:rPr>
          <w:rFonts w:ascii="Times New Roman" w:hAnsi="Times New Roman"/>
          <w:sz w:val="24"/>
          <w:szCs w:val="24"/>
        </w:rPr>
        <w:t>Following scanning</w:t>
      </w:r>
      <w:r w:rsidRPr="007E40FA">
        <w:rPr>
          <w:rFonts w:ascii="Times New Roman" w:hAnsi="Times New Roman"/>
          <w:sz w:val="24"/>
          <w:szCs w:val="24"/>
        </w:rPr>
        <w:t xml:space="preserve">, </w:t>
      </w:r>
      <w:r w:rsidR="009D3085" w:rsidRPr="007E40FA">
        <w:rPr>
          <w:rFonts w:ascii="Times New Roman" w:hAnsi="Times New Roman"/>
          <w:sz w:val="24"/>
          <w:szCs w:val="24"/>
        </w:rPr>
        <w:t>computer-defined potential tumor cells are presented to the user. F</w:t>
      </w:r>
      <w:r w:rsidRPr="007E40FA">
        <w:rPr>
          <w:rFonts w:ascii="Times New Roman" w:hAnsi="Times New Roman"/>
          <w:sz w:val="24"/>
          <w:szCs w:val="24"/>
        </w:rPr>
        <w:t xml:space="preserve">rom </w:t>
      </w:r>
      <w:r w:rsidR="009D3085" w:rsidRPr="007E40FA">
        <w:rPr>
          <w:rFonts w:ascii="Times New Roman" w:hAnsi="Times New Roman"/>
          <w:sz w:val="24"/>
          <w:szCs w:val="24"/>
        </w:rPr>
        <w:t xml:space="preserve">these images, </w:t>
      </w:r>
      <w:r w:rsidRPr="007E40FA">
        <w:rPr>
          <w:rFonts w:ascii="Times New Roman" w:hAnsi="Times New Roman"/>
          <w:sz w:val="24"/>
          <w:szCs w:val="24"/>
        </w:rPr>
        <w:t xml:space="preserve">the user must </w:t>
      </w:r>
      <w:r w:rsidR="009D3085" w:rsidRPr="007E40FA">
        <w:rPr>
          <w:rFonts w:ascii="Times New Roman" w:hAnsi="Times New Roman"/>
          <w:sz w:val="24"/>
          <w:szCs w:val="24"/>
        </w:rPr>
        <w:t>employ</w:t>
      </w:r>
      <w:r w:rsidRPr="007E40FA">
        <w:rPr>
          <w:rFonts w:ascii="Times New Roman" w:hAnsi="Times New Roman"/>
          <w:sz w:val="24"/>
          <w:szCs w:val="24"/>
        </w:rPr>
        <w:t xml:space="preserve"> qualitative analysis</w:t>
      </w:r>
      <w:r w:rsidR="009D3085" w:rsidRPr="007E40FA">
        <w:rPr>
          <w:rFonts w:ascii="Times New Roman" w:hAnsi="Times New Roman"/>
          <w:sz w:val="24"/>
          <w:szCs w:val="24"/>
        </w:rPr>
        <w:t xml:space="preserve"> using the defined parameters and differential staining discussed above to determine which events are CTCs.</w:t>
      </w:r>
      <w:r w:rsidR="00D234F3" w:rsidRPr="007E40FA">
        <w:rPr>
          <w:rFonts w:ascii="Times New Roman" w:hAnsi="Times New Roman"/>
          <w:sz w:val="24"/>
          <w:szCs w:val="24"/>
        </w:rPr>
        <w:t xml:space="preserve"> </w:t>
      </w:r>
    </w:p>
    <w:p w:rsidR="006A3BD5" w:rsidRPr="007E40FA" w:rsidRDefault="006A3BD5" w:rsidP="001F0875">
      <w:pPr>
        <w:spacing w:after="0" w:line="240" w:lineRule="auto"/>
        <w:jc w:val="both"/>
        <w:rPr>
          <w:rFonts w:ascii="Times New Roman" w:hAnsi="Times New Roman"/>
          <w:sz w:val="24"/>
          <w:szCs w:val="24"/>
        </w:rPr>
      </w:pPr>
    </w:p>
    <w:p w:rsidR="002051C5" w:rsidRPr="007E40FA" w:rsidRDefault="00796AFA" w:rsidP="001F0875">
      <w:pPr>
        <w:spacing w:after="0" w:line="240" w:lineRule="auto"/>
        <w:jc w:val="both"/>
        <w:rPr>
          <w:rFonts w:ascii="Times New Roman" w:hAnsi="Times New Roman"/>
          <w:sz w:val="24"/>
          <w:szCs w:val="24"/>
        </w:rPr>
      </w:pPr>
      <w:r w:rsidRPr="007E40FA">
        <w:rPr>
          <w:rFonts w:ascii="Times New Roman" w:hAnsi="Times New Roman"/>
          <w:sz w:val="24"/>
          <w:szCs w:val="24"/>
        </w:rPr>
        <w:t xml:space="preserve">In addition to providing a standardized method for CTC enumeration, the </w:t>
      </w:r>
      <w:r w:rsidR="004C0272" w:rsidRPr="007E40FA">
        <w:rPr>
          <w:rFonts w:ascii="Times New Roman" w:hAnsi="Times New Roman"/>
          <w:sz w:val="24"/>
          <w:szCs w:val="24"/>
        </w:rPr>
        <w:t>CSS</w:t>
      </w:r>
      <w:r w:rsidRPr="007E40FA">
        <w:rPr>
          <w:rFonts w:ascii="Times New Roman" w:hAnsi="Times New Roman"/>
          <w:sz w:val="24"/>
          <w:szCs w:val="24"/>
        </w:rPr>
        <w:t xml:space="preserve"> allows for </w:t>
      </w:r>
      <w:r w:rsidR="00436000" w:rsidRPr="007E40FA">
        <w:rPr>
          <w:rFonts w:ascii="Times New Roman" w:hAnsi="Times New Roman"/>
          <w:sz w:val="24"/>
          <w:szCs w:val="24"/>
        </w:rPr>
        <w:t xml:space="preserve">molecular </w:t>
      </w:r>
      <w:r w:rsidR="00D234F3" w:rsidRPr="007E40FA">
        <w:rPr>
          <w:rFonts w:ascii="Times New Roman" w:hAnsi="Times New Roman"/>
          <w:sz w:val="24"/>
          <w:szCs w:val="24"/>
        </w:rPr>
        <w:t xml:space="preserve">characterization of CTCs </w:t>
      </w:r>
      <w:r w:rsidR="00436000" w:rsidRPr="007E40FA">
        <w:rPr>
          <w:rFonts w:ascii="Times New Roman" w:hAnsi="Times New Roman"/>
          <w:sz w:val="24"/>
          <w:szCs w:val="24"/>
        </w:rPr>
        <w:t>based on</w:t>
      </w:r>
      <w:r w:rsidR="00D234F3" w:rsidRPr="007E40FA">
        <w:rPr>
          <w:rFonts w:ascii="Times New Roman" w:hAnsi="Times New Roman"/>
          <w:sz w:val="24"/>
          <w:szCs w:val="24"/>
        </w:rPr>
        <w:t xml:space="preserve"> protein markers </w:t>
      </w:r>
      <w:r w:rsidR="00436000" w:rsidRPr="007E40FA">
        <w:rPr>
          <w:rFonts w:ascii="Times New Roman" w:hAnsi="Times New Roman"/>
          <w:sz w:val="24"/>
          <w:szCs w:val="24"/>
        </w:rPr>
        <w:t>of interest.</w:t>
      </w:r>
      <w:r w:rsidR="00803A51" w:rsidRPr="007E40FA">
        <w:rPr>
          <w:rFonts w:ascii="Times New Roman" w:hAnsi="Times New Roman"/>
          <w:sz w:val="24"/>
          <w:szCs w:val="24"/>
        </w:rPr>
        <w:t xml:space="preserve"> This interrogation can be performed</w:t>
      </w:r>
      <w:r w:rsidR="00D234F3" w:rsidRPr="007E40FA">
        <w:rPr>
          <w:rFonts w:ascii="Times New Roman" w:hAnsi="Times New Roman"/>
          <w:sz w:val="24"/>
          <w:szCs w:val="24"/>
        </w:rPr>
        <w:t xml:space="preserve"> at the single-cell level</w:t>
      </w:r>
      <w:r w:rsidR="00803A51" w:rsidRPr="007E40FA">
        <w:rPr>
          <w:rFonts w:ascii="Times New Roman" w:hAnsi="Times New Roman"/>
          <w:sz w:val="24"/>
          <w:szCs w:val="24"/>
        </w:rPr>
        <w:t xml:space="preserve">, </w:t>
      </w:r>
      <w:r w:rsidR="00D234F3" w:rsidRPr="007E40FA">
        <w:rPr>
          <w:rFonts w:ascii="Times New Roman" w:hAnsi="Times New Roman"/>
          <w:sz w:val="24"/>
          <w:szCs w:val="24"/>
        </w:rPr>
        <w:t xml:space="preserve">using a </w:t>
      </w:r>
      <w:r w:rsidR="00041704" w:rsidRPr="007E40FA">
        <w:rPr>
          <w:rFonts w:ascii="Times New Roman" w:hAnsi="Times New Roman"/>
          <w:sz w:val="24"/>
          <w:szCs w:val="24"/>
        </w:rPr>
        <w:t xml:space="preserve">fluorescein </w:t>
      </w:r>
      <w:proofErr w:type="spellStart"/>
      <w:r w:rsidR="00041704" w:rsidRPr="007E40FA">
        <w:rPr>
          <w:rFonts w:ascii="Times New Roman" w:hAnsi="Times New Roman"/>
          <w:sz w:val="24"/>
          <w:szCs w:val="24"/>
        </w:rPr>
        <w:t>isothiocyanate</w:t>
      </w:r>
      <w:proofErr w:type="spellEnd"/>
      <w:r w:rsidR="00041704" w:rsidRPr="007E40FA">
        <w:rPr>
          <w:rFonts w:ascii="Times New Roman" w:hAnsi="Times New Roman"/>
          <w:sz w:val="24"/>
          <w:szCs w:val="24"/>
        </w:rPr>
        <w:t xml:space="preserve"> (FITC) fluorescence channel not required for CTC identification</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"10.1002/cyto.a.22158", "ISSN" : "1552-4930", "PMID" : "22899576", "abstract" : "The majority of cancer-related deaths result from metastasis, which has been associated with the presence of circulating tumor cells (CTCs). It has been shown that CTC cut-off values exist that predict for poorer overall survival in metastatic breast (\u22655), prostate (\u22655), and colorectal (\u22653) cancer based on assessment of 7.5 ml of blood. Development of the CellSearch\u00ae system (Veridex) has allowed for sensitive enumeration of CTCs. In the current study, protocols were developed and optimized for use with the CellSearch system to characterize CTCs with respect to user-defined protein markers of interest in human blood samples, including the cancer stem cell marker CD44 and the apoptosis marker M-30. Flow cytometry (FCM) experiments were initially carried out to assess expression of CD44 and M-30 on MDA-MB-468 human tumor cells. Human blood samples were then spiked with MDA-MB-468 cells and processed with the appropriate antibody (CD44/M-30) on the CellSearch. Detailed optimization of CD44 was carried out on the CellSearch using various antibody concentrations, exposure times, and cell lines with varying CD44 expression. Troubleshooting experiments were undertaken to explain observed discrepancies between FCM and CellSearch results for the M-30 marker. After extensive optimization, the best CD44/M-30 concentrations and exposure times were determined to be 1.5/3.5 \u03bcg/ml and 0.2/0.8 s, respectively. The percentage of CD44(+) tumor cells was 99.5 \u00b1 0.39% by FCM and 98.8 \u00b1 0.51% by the CellSearch system. The percentage of M-30(+) tumor cells following paclitaxel treatment was 17.6 \u00b1 1.18% by FCM and 10.9 \u00b1 2.41% by CellSearch. Proper optimization of the CD44 marker was achieved; however, M-30 does not appear to be a suitable marker for use in this platform. Taken together, the current study provides a detailed description of the process of user-defined protein marker development and optimization using the CellSearch, and will be an important resource for the future development of protein marker assays by users of this platform.", "author" : [ { "dropping-particle" : "", "family" : "Lowes", "given" : "Lori E", "non-dropping-particle" : "", "parse-names" : false, "suffix" : "" }, { "dropping-particle" : "", "family" : "Hedley", "given" : "Benjamin D", "non-dropping-particle" : "", "parse-names" : false, "suffix" : "" }, { "dropping-particle" : "", "family" : "Keeney", "given" : "Mike", "non-dropping-particle" : "", "parse-names" : false, "suffix" : "" }, { "dropping-particle" : "", "family" : "Allan", "given" : "Alison L", "non-dropping-particle" : "", "parse-names" : false, "suffix" : "" } ], "container-title" : "Cytometry. Part A : the journal of the International Society for Analytical Cytology", "id" : "ITEM-1", "issue" : "11", "issued" : { "date-parts" : [ [ "2012", "11" ] ] }, "page" : "983-95", "title" : "User-defined protein marker assay development for characterization of circulating tumor cells using the CellSearch\u00ae system.", "type" : "article-journal", "volume" : "81" }, "uris" : [ "http://www.mendeley.com/documents/?uuid=a9a3aebd-cff0-4e16-8c3a-76b63633aab6" ] } ], "mendeley" : { "previouslyFormattedCitation" : "&lt;sup&gt;16&lt;/sup&gt;"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16</w:t>
      </w:r>
      <w:r w:rsidR="0036708D" w:rsidRPr="007E40FA">
        <w:rPr>
          <w:rFonts w:ascii="Times New Roman" w:hAnsi="Times New Roman"/>
          <w:sz w:val="24"/>
          <w:szCs w:val="24"/>
        </w:rPr>
        <w:fldChar w:fldCharType="end"/>
      </w:r>
      <w:r w:rsidR="00041704" w:rsidRPr="007E40FA">
        <w:rPr>
          <w:rFonts w:ascii="Times New Roman" w:hAnsi="Times New Roman"/>
          <w:sz w:val="24"/>
          <w:szCs w:val="24"/>
        </w:rPr>
        <w:t xml:space="preserve">. </w:t>
      </w:r>
      <w:r w:rsidR="00D234F3" w:rsidRPr="007E40FA">
        <w:rPr>
          <w:rFonts w:ascii="Times New Roman" w:hAnsi="Times New Roman"/>
          <w:sz w:val="24"/>
          <w:szCs w:val="24"/>
        </w:rPr>
        <w:t xml:space="preserve">Although this platform </w:t>
      </w:r>
      <w:r w:rsidR="0053069B" w:rsidRPr="007E40FA">
        <w:rPr>
          <w:rFonts w:ascii="Times New Roman" w:hAnsi="Times New Roman"/>
          <w:sz w:val="24"/>
          <w:szCs w:val="24"/>
        </w:rPr>
        <w:t xml:space="preserve">provides the capacity for molecular characterization, </w:t>
      </w:r>
      <w:r w:rsidR="00D234F3" w:rsidRPr="007E40FA">
        <w:rPr>
          <w:rFonts w:ascii="Times New Roman" w:hAnsi="Times New Roman"/>
          <w:sz w:val="24"/>
          <w:szCs w:val="24"/>
        </w:rPr>
        <w:t xml:space="preserve">the detailed process </w:t>
      </w:r>
      <w:r w:rsidR="00ED2A1E" w:rsidRPr="007E40FA">
        <w:rPr>
          <w:rFonts w:ascii="Times New Roman" w:hAnsi="Times New Roman"/>
          <w:sz w:val="24"/>
          <w:szCs w:val="24"/>
        </w:rPr>
        <w:t>of</w:t>
      </w:r>
      <w:r w:rsidR="00D234F3" w:rsidRPr="007E40FA">
        <w:rPr>
          <w:rFonts w:ascii="Times New Roman" w:hAnsi="Times New Roman"/>
          <w:sz w:val="24"/>
          <w:szCs w:val="24"/>
        </w:rPr>
        <w:t xml:space="preserve"> protocol development and optimization is not well-defined. </w:t>
      </w:r>
      <w:r w:rsidR="00B25CB7" w:rsidRPr="007E40FA">
        <w:rPr>
          <w:rFonts w:ascii="Times New Roman" w:hAnsi="Times New Roman"/>
          <w:sz w:val="24"/>
          <w:szCs w:val="24"/>
        </w:rPr>
        <w:t>T</w:t>
      </w:r>
      <w:r w:rsidR="00FC5CDC" w:rsidRPr="007E40FA">
        <w:rPr>
          <w:rFonts w:ascii="Times New Roman" w:hAnsi="Times New Roman"/>
          <w:sz w:val="24"/>
          <w:szCs w:val="24"/>
        </w:rPr>
        <w:t>hree</w:t>
      </w:r>
      <w:r w:rsidR="00B25CB7" w:rsidRPr="007E40FA">
        <w:rPr>
          <w:rFonts w:ascii="Times New Roman" w:hAnsi="Times New Roman"/>
          <w:sz w:val="24"/>
          <w:szCs w:val="24"/>
        </w:rPr>
        <w:t xml:space="preserve"> </w:t>
      </w:r>
      <w:r w:rsidR="00FC5CDC" w:rsidRPr="007E40FA">
        <w:rPr>
          <w:rFonts w:ascii="Times New Roman" w:hAnsi="Times New Roman"/>
          <w:sz w:val="24"/>
          <w:szCs w:val="24"/>
        </w:rPr>
        <w:t xml:space="preserve">commercially available </w:t>
      </w:r>
      <w:r w:rsidR="00B25CB7" w:rsidRPr="007E40FA">
        <w:rPr>
          <w:rFonts w:ascii="Times New Roman" w:hAnsi="Times New Roman"/>
          <w:sz w:val="24"/>
          <w:szCs w:val="24"/>
        </w:rPr>
        <w:t>markers</w:t>
      </w:r>
      <w:r w:rsidR="00ED2A1E" w:rsidRPr="007E40FA">
        <w:rPr>
          <w:rFonts w:ascii="Times New Roman" w:hAnsi="Times New Roman"/>
          <w:sz w:val="24"/>
          <w:szCs w:val="24"/>
        </w:rPr>
        <w:t xml:space="preserve"> have been developed </w:t>
      </w:r>
      <w:r w:rsidR="00FC5CDC" w:rsidRPr="007E40FA">
        <w:rPr>
          <w:rFonts w:ascii="Times New Roman" w:hAnsi="Times New Roman"/>
          <w:sz w:val="24"/>
          <w:szCs w:val="24"/>
        </w:rPr>
        <w:t xml:space="preserve">by the manufacturer </w:t>
      </w:r>
      <w:r w:rsidR="00ED2A1E" w:rsidRPr="007E40FA">
        <w:rPr>
          <w:rFonts w:ascii="Times New Roman" w:hAnsi="Times New Roman"/>
          <w:sz w:val="24"/>
          <w:szCs w:val="24"/>
        </w:rPr>
        <w:t>for use with the CSS</w:t>
      </w:r>
      <w:r w:rsidR="00B25CB7" w:rsidRPr="007E40FA">
        <w:rPr>
          <w:rFonts w:ascii="Times New Roman" w:hAnsi="Times New Roman"/>
          <w:sz w:val="24"/>
          <w:szCs w:val="24"/>
        </w:rPr>
        <w:t xml:space="preserve">, </w:t>
      </w:r>
      <w:r w:rsidR="0053069B" w:rsidRPr="007E40FA">
        <w:rPr>
          <w:rFonts w:ascii="Times New Roman" w:hAnsi="Times New Roman"/>
          <w:sz w:val="24"/>
          <w:szCs w:val="24"/>
        </w:rPr>
        <w:t xml:space="preserve">including </w:t>
      </w:r>
      <w:r w:rsidR="00B25CB7" w:rsidRPr="007E40FA">
        <w:rPr>
          <w:rFonts w:ascii="Times New Roman" w:hAnsi="Times New Roman"/>
          <w:sz w:val="24"/>
          <w:szCs w:val="24"/>
        </w:rPr>
        <w:t>epidermal growth factor receptor (EGFR)</w:t>
      </w:r>
      <w:r w:rsidR="00FC5CDC" w:rsidRPr="007E40FA">
        <w:rPr>
          <w:rFonts w:ascii="Times New Roman" w:hAnsi="Times New Roman"/>
          <w:sz w:val="24"/>
          <w:szCs w:val="24"/>
        </w:rPr>
        <w:t xml:space="preserve">, </w:t>
      </w:r>
      <w:r w:rsidR="00B25CB7" w:rsidRPr="007E40FA">
        <w:rPr>
          <w:rFonts w:ascii="Times New Roman" w:hAnsi="Times New Roman"/>
          <w:sz w:val="24"/>
          <w:szCs w:val="24"/>
          <w:shd w:val="clear" w:color="auto" w:fill="FFFFFF"/>
        </w:rPr>
        <w:t>human epidermal growth factor receptor 2</w:t>
      </w:r>
      <w:r w:rsidR="00B25CB7" w:rsidRPr="007E40FA">
        <w:rPr>
          <w:rFonts w:ascii="Times New Roman" w:hAnsi="Times New Roman"/>
          <w:sz w:val="24"/>
          <w:szCs w:val="24"/>
        </w:rPr>
        <w:t xml:space="preserve"> (HER2)</w:t>
      </w:r>
      <w:r w:rsidR="00FC5CDC" w:rsidRPr="007E40FA">
        <w:rPr>
          <w:rFonts w:ascii="Times New Roman" w:hAnsi="Times New Roman"/>
          <w:sz w:val="24"/>
          <w:szCs w:val="24"/>
        </w:rPr>
        <w:t>, and insulin</w:t>
      </w:r>
      <w:r w:rsidR="00FF7709" w:rsidRPr="007E40FA">
        <w:rPr>
          <w:rFonts w:ascii="Times New Roman" w:hAnsi="Times New Roman"/>
          <w:sz w:val="24"/>
          <w:szCs w:val="24"/>
        </w:rPr>
        <w:t>-like</w:t>
      </w:r>
      <w:r w:rsidR="00FC5CDC" w:rsidRPr="007E40FA">
        <w:rPr>
          <w:rFonts w:ascii="Times New Roman" w:hAnsi="Times New Roman"/>
          <w:sz w:val="24"/>
          <w:szCs w:val="24"/>
        </w:rPr>
        <w:t xml:space="preserve"> growth factor </w:t>
      </w:r>
      <w:r w:rsidR="00FF7709" w:rsidRPr="007E40FA">
        <w:rPr>
          <w:rFonts w:ascii="Times New Roman" w:hAnsi="Times New Roman"/>
          <w:sz w:val="24"/>
          <w:szCs w:val="24"/>
        </w:rPr>
        <w:t xml:space="preserve">1 </w:t>
      </w:r>
      <w:r w:rsidR="00FC5CDC" w:rsidRPr="007E40FA">
        <w:rPr>
          <w:rFonts w:ascii="Times New Roman" w:hAnsi="Times New Roman"/>
          <w:sz w:val="24"/>
          <w:szCs w:val="24"/>
        </w:rPr>
        <w:t>receptor</w:t>
      </w:r>
      <w:r w:rsidR="0053069B" w:rsidRPr="007E40FA">
        <w:rPr>
          <w:rFonts w:ascii="Times New Roman" w:hAnsi="Times New Roman"/>
          <w:sz w:val="24"/>
          <w:szCs w:val="24"/>
        </w:rPr>
        <w:t xml:space="preserve"> </w:t>
      </w:r>
      <w:r w:rsidR="00FC5CDC" w:rsidRPr="007E40FA">
        <w:rPr>
          <w:rFonts w:ascii="Times New Roman" w:hAnsi="Times New Roman"/>
          <w:sz w:val="24"/>
          <w:szCs w:val="24"/>
        </w:rPr>
        <w:t>(IGF</w:t>
      </w:r>
      <w:r w:rsidR="00831FC3" w:rsidRPr="007E40FA">
        <w:rPr>
          <w:rFonts w:ascii="Times New Roman" w:hAnsi="Times New Roman"/>
          <w:sz w:val="24"/>
          <w:szCs w:val="24"/>
        </w:rPr>
        <w:t>-1R</w:t>
      </w:r>
      <w:r w:rsidR="00FC5CDC" w:rsidRPr="007E40FA">
        <w:rPr>
          <w:rFonts w:ascii="Times New Roman" w:hAnsi="Times New Roman"/>
          <w:sz w:val="24"/>
          <w:szCs w:val="24"/>
        </w:rPr>
        <w:t>)</w:t>
      </w:r>
      <w:r w:rsidR="00ED2A1E" w:rsidRPr="007E40FA">
        <w:rPr>
          <w:rFonts w:ascii="Times New Roman" w:hAnsi="Times New Roman"/>
          <w:sz w:val="24"/>
          <w:szCs w:val="24"/>
        </w:rPr>
        <w:t>.</w:t>
      </w:r>
      <w:r w:rsidR="00B25CB7" w:rsidRPr="007E40FA">
        <w:rPr>
          <w:rFonts w:ascii="Times New Roman" w:hAnsi="Times New Roman"/>
          <w:sz w:val="24"/>
          <w:szCs w:val="24"/>
        </w:rPr>
        <w:t xml:space="preserve"> HER2 </w:t>
      </w:r>
      <w:r w:rsidR="00021CFF" w:rsidRPr="007E40FA">
        <w:rPr>
          <w:rFonts w:ascii="Times New Roman" w:hAnsi="Times New Roman"/>
          <w:sz w:val="24"/>
          <w:szCs w:val="24"/>
        </w:rPr>
        <w:t>analysis</w:t>
      </w:r>
      <w:r w:rsidR="00B25CB7" w:rsidRPr="007E40FA">
        <w:rPr>
          <w:rFonts w:ascii="Times New Roman" w:hAnsi="Times New Roman"/>
          <w:sz w:val="24"/>
          <w:szCs w:val="24"/>
        </w:rPr>
        <w:t xml:space="preserve">, in combination with the </w:t>
      </w:r>
      <w:r w:rsidR="004C0272" w:rsidRPr="007E40FA">
        <w:rPr>
          <w:rFonts w:ascii="Times New Roman" w:hAnsi="Times New Roman"/>
          <w:sz w:val="24"/>
          <w:szCs w:val="24"/>
        </w:rPr>
        <w:t>CSS</w:t>
      </w:r>
      <w:r w:rsidR="00B25CB7" w:rsidRPr="007E40FA">
        <w:rPr>
          <w:rFonts w:ascii="Times New Roman" w:hAnsi="Times New Roman"/>
          <w:sz w:val="24"/>
          <w:szCs w:val="24"/>
        </w:rPr>
        <w:t xml:space="preserve">, has been utilized by several groups to illustrate </w:t>
      </w:r>
      <w:r w:rsidR="004636EF" w:rsidRPr="007E40FA">
        <w:rPr>
          <w:rFonts w:ascii="Times New Roman" w:hAnsi="Times New Roman"/>
          <w:sz w:val="24"/>
          <w:szCs w:val="24"/>
        </w:rPr>
        <w:t xml:space="preserve">the potential </w:t>
      </w:r>
      <w:r w:rsidR="00021CFF" w:rsidRPr="007E40FA">
        <w:rPr>
          <w:rFonts w:ascii="Times New Roman" w:hAnsi="Times New Roman"/>
          <w:sz w:val="24"/>
          <w:szCs w:val="24"/>
        </w:rPr>
        <w:t>for</w:t>
      </w:r>
      <w:r w:rsidR="004636EF" w:rsidRPr="007E40FA">
        <w:rPr>
          <w:rFonts w:ascii="Times New Roman" w:hAnsi="Times New Roman"/>
          <w:sz w:val="24"/>
          <w:szCs w:val="24"/>
        </w:rPr>
        <w:t xml:space="preserve"> CTC characterization</w:t>
      </w:r>
      <w:r w:rsidR="00021CFF" w:rsidRPr="007E40FA">
        <w:rPr>
          <w:rFonts w:ascii="Times New Roman" w:hAnsi="Times New Roman"/>
          <w:sz w:val="24"/>
          <w:szCs w:val="24"/>
        </w:rPr>
        <w:t xml:space="preserve"> to inform clinical decision-making and to </w:t>
      </w:r>
      <w:r w:rsidR="00625FA1" w:rsidRPr="007E40FA">
        <w:rPr>
          <w:rFonts w:ascii="Times New Roman" w:hAnsi="Times New Roman"/>
          <w:sz w:val="24"/>
          <w:szCs w:val="24"/>
        </w:rPr>
        <w:t xml:space="preserve">potentially </w:t>
      </w:r>
      <w:r w:rsidR="00021CFF" w:rsidRPr="007E40FA">
        <w:rPr>
          <w:rFonts w:ascii="Times New Roman" w:hAnsi="Times New Roman"/>
          <w:sz w:val="24"/>
          <w:szCs w:val="24"/>
        </w:rPr>
        <w:t xml:space="preserve">change existing treatment guidelines. For example, </w:t>
      </w:r>
      <w:proofErr w:type="spellStart"/>
      <w:r w:rsidR="001931ED" w:rsidRPr="007E40FA">
        <w:rPr>
          <w:rFonts w:ascii="Times New Roman" w:hAnsi="Times New Roman"/>
          <w:sz w:val="24"/>
          <w:szCs w:val="24"/>
        </w:rPr>
        <w:t>Fehm</w:t>
      </w:r>
      <w:proofErr w:type="spellEnd"/>
      <w:r w:rsidR="001931ED" w:rsidRPr="007E40FA">
        <w:rPr>
          <w:rFonts w:ascii="Times New Roman" w:hAnsi="Times New Roman"/>
          <w:sz w:val="24"/>
          <w:szCs w:val="24"/>
        </w:rPr>
        <w:t xml:space="preserve"> et al. (2010</w:t>
      </w:r>
      <w:r w:rsidR="00E73953" w:rsidRPr="007E40FA">
        <w:rPr>
          <w:rFonts w:ascii="Times New Roman" w:hAnsi="Times New Roman"/>
          <w:sz w:val="24"/>
          <w:szCs w:val="24"/>
        </w:rPr>
        <w:t xml:space="preserve">) demonstrated that approximately one third of breast cancer patients with </w:t>
      </w:r>
      <w:r w:rsidR="00021CFF" w:rsidRPr="007E40FA">
        <w:rPr>
          <w:rFonts w:ascii="Times New Roman" w:hAnsi="Times New Roman"/>
          <w:sz w:val="24"/>
          <w:szCs w:val="24"/>
        </w:rPr>
        <w:t>HER2</w:t>
      </w:r>
      <w:r w:rsidR="00021CFF" w:rsidRPr="007E40FA">
        <w:rPr>
          <w:rFonts w:ascii="Times New Roman" w:hAnsi="Times New Roman"/>
          <w:sz w:val="24"/>
          <w:szCs w:val="24"/>
          <w:vertAlign w:val="superscript"/>
        </w:rPr>
        <w:t>-</w:t>
      </w:r>
      <w:r w:rsidR="00021CFF" w:rsidRPr="007E40FA">
        <w:rPr>
          <w:rFonts w:ascii="Times New Roman" w:hAnsi="Times New Roman"/>
          <w:sz w:val="24"/>
          <w:szCs w:val="24"/>
        </w:rPr>
        <w:t xml:space="preserve"> </w:t>
      </w:r>
      <w:r w:rsidR="00E73953" w:rsidRPr="007E40FA">
        <w:rPr>
          <w:rFonts w:ascii="Times New Roman" w:hAnsi="Times New Roman"/>
          <w:sz w:val="24"/>
          <w:szCs w:val="24"/>
        </w:rPr>
        <w:t>primary tumors had HER2</w:t>
      </w:r>
      <w:r w:rsidR="00E73953" w:rsidRPr="007E40FA">
        <w:rPr>
          <w:rFonts w:ascii="Times New Roman" w:hAnsi="Times New Roman"/>
          <w:sz w:val="24"/>
          <w:szCs w:val="24"/>
          <w:vertAlign w:val="superscript"/>
        </w:rPr>
        <w:t>+</w:t>
      </w:r>
      <w:r w:rsidR="00E73953" w:rsidRPr="007E40FA">
        <w:rPr>
          <w:rFonts w:ascii="Times New Roman" w:hAnsi="Times New Roman"/>
          <w:sz w:val="24"/>
          <w:szCs w:val="24"/>
        </w:rPr>
        <w:t xml:space="preserve"> CTCs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"1573-7217", "PMID" : "20859679", "abstract" : "There is a growing body of evidence that HER2 status can change during disease recurrence or progression in breast cancer patients. In this context, re-evaluation of HER2 status by assessment of HER2 expression on circulating tumor cells (CTCs) is a strategy with potential clinical application. The aim of this trial was to determine the HER2 status of CTCs in metastatic breast cancer patients comparing two CTC assays. A total of 254 patients with metastatic breast cancer from nine German university breast cancer centers were enrolled in this prospective study. HER2 status of CTCs was assessed using both the FDA-approved CellSearch\u00ae assay and AdnaTest BreastCancer\u2122. Using the CellSearch assay, 122 of 245 (50%) patients had \u22655 CTCs, and HER2-positive CTCs were observed in 50 (41%) of these patients. Ninety of 229 (39%) patients were CTC positive using AdnaTest BreastCancer, and HER2 positivity rate was 47% (42 of 90). The rate of breast cancer patients with HER2-negative primary tumors but HER2-positive CTCs was 32% (25 of 78) and 49% (28 of 57) using the CellSearch assay and AdnaTest BreastCancer, respectively. Considering only those patients who had CTCs on both tests (n = 62), concordant results regarding HER2 positivity were obtained in 50% of the patients (31/62) (P = 0.96, \u03ba = -0.006). HER2-positive CTCs can be detected in a relevant number of patients with HER2 negative primary tumors. Therefore, it will be mandatory to correlate the assay-dependent HER2 status of CTCs to the clinical response on HER2-targeted therapies.", "author" : [ { "dropping-particle" : "", "family" : "Fehm", "given" : "Tanja", "non-dropping-particle" : "", "parse-names" : false, "suffix" : "" }, { "dropping-particle" : "", "family" : "M\u00fcller", "given" : "Volkmar", "non-dropping-particle" : "", "parse-names" : false, "suffix" : "" }, { "dropping-particle" : "", "family" : "Aktas", "given" : "Bahriye", "non-dropping-particle" : "", "parse-names" : false, "suffix" : "" }, { "dropping-particle" : "", "family" : "Janni", "given" : "Wolfgang", "non-dropping-particle" : "", "parse-names" : false, "suffix" : "" }, { "dropping-particle" : "", "family" : "Schneeweiss", "given" : "Andreas", "non-dropping-particle" : "", "parse-names" : false, "suffix" : "" }, { "dropping-particle" : "", "family" : "Stickeler", "given" : "Elmar", "non-dropping-particle" : "", "parse-names" : false, "suffix" : "" }, { "dropping-particle" : "", "family" : "Lattrich", "given" : "Claus", "non-dropping-particle" : "", "parse-names" : false, "suffix" : "" }, { "dropping-particle" : "", "family" : "L\u00f6hberg", "given" : "Christian R", "non-dropping-particle" : "", "parse-names" : false, "suffix" : "" }, { "dropping-particle" : "", "family" : "Solomayer", "given" : "Erich", "non-dropping-particle" : "", "parse-names" : false, "suffix" : "" }, { "dropping-particle" : "", "family" : "Rack", "given" : "Brigitte", "non-dropping-particle" : "", "parse-names" : false, "suffix" : "" }, { "dropping-particle" : "", "family" : "Riethdorf", "given" : "Sabine", "non-dropping-particle" : "", "parse-names" : false, "suffix" : "" }, { "dropping-particle" : "", "family" : "Klein", "given" : "Christoph", "non-dropping-particle" : "", "parse-names" : false, "suffix" : "" }, { "dropping-particle" : "", "family" : "Schindlbeck", "given" : "Christian", "non-dropping-particle" : "", "parse-names" : false, "suffix" : "" }, { "dropping-particle" : "", "family" : "Brocker", "given" : "Kerstin", "non-dropping-particle" : "", "parse-names" : false, "suffix" : "" }, { "dropping-particle" : "", "family" : "Kasimir-Bauer", "given" : "Sabine", "non-dropping-particle" : "", "parse-names" : false, "suffix" : "" }, { "dropping-particle" : "", "family" : "Wallwiener", "given" : "Diethelm", "non-dropping-particle" : "", "parse-names" : false, "suffix" : "" }, { "dropping-particle" : "", "family" : "Pantel", "given" : "Klaus", "non-dropping-particle" : "", "parse-names" : false, "suffix" : "" } ], "container-title" : "Breast cancer research and treatment", "id" : "ITEM-1", "issue" : "2", "issued" : { "date-parts" : [ [ "2010", "11" ] ] }, "page" : "403-12", "title" : "HER2 status of circulating tumor cells in patients with metastatic breast cancer: a prospective, multicenter trial.", "type" : "article-journal", "volume" : "124" }, "uris" : [ "http://www.mendeley.com/documents/?uuid=0dd72e35-08ca-43d0-8074-e6a951f31ae5" ] } ], "mendeley" : { "previouslyFormattedCitation" : "&lt;sup&gt;17&lt;/sup&gt;"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17</w:t>
      </w:r>
      <w:r w:rsidR="0036708D" w:rsidRPr="007E40FA">
        <w:rPr>
          <w:rFonts w:ascii="Times New Roman" w:hAnsi="Times New Roman"/>
          <w:sz w:val="24"/>
          <w:szCs w:val="24"/>
        </w:rPr>
        <w:fldChar w:fldCharType="end"/>
      </w:r>
      <w:r w:rsidR="00E73953" w:rsidRPr="007E40FA">
        <w:rPr>
          <w:rFonts w:ascii="Times New Roman" w:hAnsi="Times New Roman"/>
          <w:sz w:val="24"/>
          <w:szCs w:val="24"/>
        </w:rPr>
        <w:t>.</w:t>
      </w:r>
      <w:r w:rsidR="001931ED" w:rsidRPr="007E40FA">
        <w:rPr>
          <w:rFonts w:ascii="Times New Roman" w:hAnsi="Times New Roman"/>
          <w:sz w:val="24"/>
          <w:szCs w:val="24"/>
        </w:rPr>
        <w:t xml:space="preserve"> In addition, Liu et al. (2013) recently reported that up to 50% of patients with HER</w:t>
      </w:r>
      <w:r w:rsidR="001931ED" w:rsidRPr="007E40FA">
        <w:rPr>
          <w:rFonts w:ascii="Times New Roman" w:hAnsi="Times New Roman"/>
          <w:sz w:val="24"/>
          <w:szCs w:val="24"/>
          <w:vertAlign w:val="superscript"/>
        </w:rPr>
        <w:t>+</w:t>
      </w:r>
      <w:r w:rsidR="001931ED" w:rsidRPr="007E40FA">
        <w:rPr>
          <w:rFonts w:ascii="Times New Roman" w:hAnsi="Times New Roman"/>
          <w:sz w:val="24"/>
          <w:szCs w:val="24"/>
        </w:rPr>
        <w:t xml:space="preserve"> metastatic breast cancer </w:t>
      </w:r>
      <w:r w:rsidR="00625FA1" w:rsidRPr="007E40FA">
        <w:rPr>
          <w:rFonts w:ascii="Times New Roman" w:hAnsi="Times New Roman"/>
          <w:sz w:val="24"/>
          <w:szCs w:val="24"/>
        </w:rPr>
        <w:t>did not have H</w:t>
      </w:r>
      <w:r w:rsidR="001931ED" w:rsidRPr="007E40FA">
        <w:rPr>
          <w:rFonts w:ascii="Times New Roman" w:hAnsi="Times New Roman"/>
          <w:sz w:val="24"/>
          <w:szCs w:val="24"/>
        </w:rPr>
        <w:t>ER2</w:t>
      </w:r>
      <w:r w:rsidR="00625FA1" w:rsidRPr="007E40FA">
        <w:rPr>
          <w:rFonts w:ascii="Times New Roman" w:hAnsi="Times New Roman"/>
          <w:sz w:val="24"/>
          <w:szCs w:val="24"/>
          <w:vertAlign w:val="superscript"/>
        </w:rPr>
        <w:t>+</w:t>
      </w:r>
      <w:r w:rsidR="00625FA1" w:rsidRPr="007E40FA">
        <w:rPr>
          <w:rFonts w:ascii="Times New Roman" w:hAnsi="Times New Roman"/>
          <w:sz w:val="24"/>
          <w:szCs w:val="24"/>
        </w:rPr>
        <w:t xml:space="preserve"> CTCs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"10.1186/1471-2407-13-202", "ISSN" : "1471-2407", "PMID" : "23617715", "abstract" : "This study was initiated to investigate the prognostic significance of circulating tumor cell (CTC) enumeration and the predictive value of CTC HER2 expression for efficient anti-HER2 therapy in HER2-positive metastatic breast cancer (MBC) patients.", "author" : [ { "dropping-particle" : "", "family" : "Liu", "given" : "Yi", "non-dropping-particle" : "", "parse-names" : false, "suffix" : "" }, { "dropping-particle" : "", "family" : "Liu", "given" : "Qian", "non-dropping-particle" : "", "parse-names" : false, "suffix" : "" }, { "dropping-particle" : "", "family" : "Wang", "given" : "Tao", "non-dropping-particle" : "", "parse-names" : false, "suffix" : "" }, { "dropping-particle" : "", "family" : "Bian", "given" : "Li", "non-dropping-particle" : "", "parse-names" : false, "suffix" : "" }, { "dropping-particle" : "", "family" : "Zhang", "given" : "Shaohua", "non-dropping-particle" : "", "parse-names" : false, "suffix" : "" }, { "dropping-particle" : "", "family" : "Hu", "given" : "Haixu", "non-dropping-particle" : "", "parse-names" : false, "suffix" : "" }, { "dropping-particle" : "", "family" : "Li", "given" : "Sha", "non-dropping-particle" : "", "parse-names" : false, "suffix" : "" }, { "dropping-particle" : "", "family" : "Hu", "given" : "Zhiyuan", "non-dropping-particle" : "", "parse-names" : false, "suffix" : "" }, { "dropping-particle" : "", "family" : "Wu", "given" : "Shikai", "non-dropping-particle" : "", "parse-names" : false, "suffix" : "" }, { "dropping-particle" : "", "family" : "Liu", "given" : "Bing", "non-dropping-particle" : "", "parse-names" : false, "suffix" : "" }, { "dropping-particle" : "", "family" : "Jiang", "given" : "Zefei", "non-dropping-particle" : "", "parse-names" : false, "suffix" : "" } ], "container-title" : "BMC cancer", "id" : "ITEM-1", "issued" : { "date-parts" : [ [ "2013", "1" ] ] }, "page" : "202", "title" : "Circulating tumor cells in HER2-positive metastatic breast cancer patients: a valuable prognostic and predictive biomarker.", "type" : "article-journal", "volume" : "13" }, "uris" : [ "http://www.mendeley.com/documents/?uuid=52ecd1e5-01bf-4533-9822-dfd231bd17f2" ] } ], "mendeley" : { "previouslyFormattedCitation" : "&lt;sup&gt;18&lt;/sup&gt;"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18</w:t>
      </w:r>
      <w:r w:rsidR="0036708D" w:rsidRPr="007E40FA">
        <w:rPr>
          <w:rFonts w:ascii="Times New Roman" w:hAnsi="Times New Roman"/>
          <w:sz w:val="24"/>
          <w:szCs w:val="24"/>
        </w:rPr>
        <w:fldChar w:fldCharType="end"/>
      </w:r>
      <w:r w:rsidR="00625FA1" w:rsidRPr="007E40FA">
        <w:rPr>
          <w:rFonts w:ascii="Times New Roman" w:hAnsi="Times New Roman"/>
          <w:sz w:val="24"/>
          <w:szCs w:val="24"/>
        </w:rPr>
        <w:t>.</w:t>
      </w:r>
      <w:r w:rsidR="001931ED" w:rsidRPr="007E40FA">
        <w:rPr>
          <w:rFonts w:ascii="Times New Roman" w:hAnsi="Times New Roman"/>
          <w:sz w:val="24"/>
          <w:szCs w:val="24"/>
        </w:rPr>
        <w:t xml:space="preserve"> Herceptin, a HER</w:t>
      </w:r>
      <w:r w:rsidR="00625FA1" w:rsidRPr="007E40FA">
        <w:rPr>
          <w:rFonts w:ascii="Times New Roman" w:hAnsi="Times New Roman"/>
          <w:sz w:val="24"/>
          <w:szCs w:val="24"/>
        </w:rPr>
        <w:t xml:space="preserve">2 </w:t>
      </w:r>
      <w:proofErr w:type="spellStart"/>
      <w:r w:rsidR="00625FA1" w:rsidRPr="007E40FA">
        <w:rPr>
          <w:rFonts w:ascii="Times New Roman" w:hAnsi="Times New Roman"/>
          <w:sz w:val="24"/>
          <w:szCs w:val="24"/>
        </w:rPr>
        <w:t>recepter</w:t>
      </w:r>
      <w:proofErr w:type="spellEnd"/>
      <w:r w:rsidR="00625FA1" w:rsidRPr="007E40FA">
        <w:rPr>
          <w:rFonts w:ascii="Times New Roman" w:hAnsi="Times New Roman"/>
          <w:sz w:val="24"/>
          <w:szCs w:val="24"/>
        </w:rPr>
        <w:t xml:space="preserve"> interfering monoclon</w:t>
      </w:r>
      <w:r w:rsidR="001931ED" w:rsidRPr="007E40FA">
        <w:rPr>
          <w:rFonts w:ascii="Times New Roman" w:hAnsi="Times New Roman"/>
          <w:sz w:val="24"/>
          <w:szCs w:val="24"/>
        </w:rPr>
        <w:t>al antibody demonstrated to greatly benefit patients whose tumors express sufficient levels of HER2</w:t>
      </w:r>
      <w:r w:rsidR="00625FA1" w:rsidRPr="007E40FA">
        <w:rPr>
          <w:rFonts w:ascii="Times New Roman" w:hAnsi="Times New Roman"/>
          <w:sz w:val="24"/>
          <w:szCs w:val="24"/>
        </w:rPr>
        <w:t>,</w:t>
      </w:r>
      <w:r w:rsidR="001931ED" w:rsidRPr="007E40FA">
        <w:rPr>
          <w:rFonts w:ascii="Times New Roman" w:hAnsi="Times New Roman"/>
          <w:sz w:val="24"/>
          <w:szCs w:val="24"/>
        </w:rPr>
        <w:t xml:space="preserve"> </w:t>
      </w:r>
      <w:r w:rsidR="00625FA1" w:rsidRPr="007E40FA">
        <w:rPr>
          <w:rFonts w:ascii="Times New Roman" w:hAnsi="Times New Roman"/>
          <w:sz w:val="24"/>
          <w:szCs w:val="24"/>
        </w:rPr>
        <w:t>is a commonly utilized treatment for patients with HER2</w:t>
      </w:r>
      <w:r w:rsidR="00625FA1" w:rsidRPr="007E40FA">
        <w:rPr>
          <w:rFonts w:ascii="Times New Roman" w:hAnsi="Times New Roman"/>
          <w:sz w:val="24"/>
          <w:szCs w:val="24"/>
          <w:vertAlign w:val="superscript"/>
        </w:rPr>
        <w:t>+</w:t>
      </w:r>
      <w:r w:rsidR="00625FA1" w:rsidRPr="007E40FA">
        <w:rPr>
          <w:rFonts w:ascii="Times New Roman" w:hAnsi="Times New Roman"/>
          <w:sz w:val="24"/>
          <w:szCs w:val="24"/>
        </w:rPr>
        <w:t xml:space="preserve"> primary tumors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"10.1056/NEJM200103153441101", "ISSN" : "0028-4793", "PMID" : "11248153", "abstract" : "The HER2 gene, which encodes the growth factor receptor HER2, is amplified and HER2 is overexpressed in 25 to 30 percent of breast cancers, increasing the aggressiveness of the tumor.", "author" : [ { "dropping-particle" : "", "family" : "Slamon", "given" : "D J", "non-dropping-particle" : "", "parse-names" : false, "suffix" : "" }, { "dropping-particle" : "", "family" : "Leyland-Jones", "given" : "B", "non-dropping-particle" : "", "parse-names" : false, "suffix" : "" }, { "dropping-particle" : "", "family" : "Shak", "given" : "S", "non-dropping-particle" : "", "parse-names" : false, "suffix" : "" }, { "dropping-particle" : "", "family" : "Fuchs", "given" : "H", "non-dropping-particle" : "", "parse-names" : false, "suffix" : "" }, { "dropping-particle" : "", "family" : "Paton", "given" : "V", "non-dropping-particle" : "", "parse-names" : false, "suffix" : "" }, { "dropping-particle" : "", "family" : "Bajamonde", "given" : "A", "non-dropping-particle" : "", "parse-names" : false, "suffix" : "" }, { "dropping-particle" : "", "family" : "Fleming", "given" : "T", "non-dropping-particle" : "", "parse-names" : false, "suffix" : "" }, { "dropping-particle" : "", "family" : "Eiermann", "given" : "W", "non-dropping-particle" : "", "parse-names" : false, "suffix" : "" }, { "dropping-particle" : "", "family" : "Wolter", "given" : "J", "non-dropping-particle" : "", "parse-names" : false, "suffix" : "" }, { "dropping-particle" : "", "family" : "Pegram", "given" : "M", "non-dropping-particle" : "", "parse-names" : false, "suffix" : "" }, { "dropping-particle" : "", "family" : "Baselga", "given" : "J", "non-dropping-particle" : "", "parse-names" : false, "suffix" : "" }, { "dropping-particle" : "", "family" : "Norton", "given" : "L", "non-dropping-particle" : "", "parse-names" : false, "suffix" : "" } ], "container-title" : "The New England journal of medicine", "id" : "ITEM-1", "issue" : "11", "issued" : { "date-parts" : [ [ "2001", "3", "15" ] ] }, "page" : "783-92", "title" : "Use of chemotherapy plus a monoclonal antibody against HER2 for metastatic breast cancer that overexpresses HER2.", "type" : "article-journal", "volume" : "344" }, "uris" : [ "http://www.mendeley.com/documents/?uuid=b94313d0-d656-4f69-9b02-c4fecc95c2d9" ] }, { "id" : "ITEM-2", "itemData" : { "DOI" : "10.1200/JCO.2005.04.173", "ISSN" : "0732-183X", "PMID" : "15911866", "abstract" : "This randomized, multicenter trial compared first-line trastuzumab plus docetaxel versus docetaxel alone in patients with human epidermal growth factor receptor 2 (HER2) -positive metastatic breast cancer (MBC).", "author" : [ { "dropping-particle" : "", "family" : "Marty", "given" : "Michel", "non-dropping-particle" : "", "parse-names" : false, "suffix" : "" }, { "dropping-particle" : "", "family" : "Cognetti", "given" : "Francesco", "non-dropping-particle" : "", "parse-names" : false, "suffix" : "" }, { "dropping-particle" : "", "family" : "Maraninchi", "given" : "Dominique", "non-dropping-particle" : "", "parse-names" : false, "suffix" : "" }, { "dropping-particle" : "", "family" : "Snyder", "given" : "Ray", "non-dropping-particle" : "", "parse-names" : false, "suffix" : "" }, { "dropping-particle" : "", "family" : "Mauriac", "given" : "Louis", "non-dropping-particle" : "", "parse-names" : false, "suffix" : "" }, { "dropping-particle" : "", "family" : "Tubiana-Hulin", "given" : "Mich\u00e8le", "non-dropping-particle" : "", "parse-names" : false, "suffix" : "" }, { "dropping-particle" : "", "family" : "Chan", "given" : "Stephen", "non-dropping-particle" : "", "parse-names" : false, "suffix" : "" }, { "dropping-particle" : "", "family" : "Grimes", "given" : "David", "non-dropping-particle" : "", "parse-names" : false, "suffix" : "" }, { "dropping-particle" : "", "family" : "Ant\u00f3n", "given" : "Antonio", "non-dropping-particle" : "", "parse-names" : false, "suffix" : "" }, { "dropping-particle" : "", "family" : "Lluch", "given" : "Ana", "non-dropping-particle" : "", "parse-names" : false, "suffix" : "" }, { "dropping-particle" : "", "family" : "Kennedy", "given" : "John", "non-dropping-particle" : "", "parse-names" : false, "suffix" : "" }, { "dropping-particle" : "", "family" : "O'Byrne", "given" : "Kenneth", "non-dropping-particle" : "", "parse-names" : false, "suffix" : "" }, { "dropping-particle" : "", "family" : "Conte", "given" : "PierFranco", "non-dropping-particle" : "", "parse-names" : false, "suffix" : "" }, { "dropping-particle" : "", "family" : "Green", "given" : "Michael", "non-dropping-particle" : "", "parse-names" : false, "suffix" : "" }, { "dropping-particle" : "", "family" : "Ward", "given" : "Carol", "non-dropping-particle" : "", "parse-names" : false, "suffix" : "" }, { "dropping-particle" : "", "family" : "Mayne", "given" : "Karen", "non-dropping-particle" : "", "parse-names" : false, "suffix" : "" }, { "dropping-particle" : "", "family" : "Extra", "given" : "Jean-Marc", "non-dropping-particle" : "", "parse-names" : false, "suffix" : "" } ], "container-title" : "Journal of clinical oncology : official journal of the American Society of Clinical Oncology", "id" : "ITEM-2", "issue" : "19", "issued" : { "date-parts" : [ [ "2005", "7", "1" ] ] }, "page" : "4265-74", "title" : "Randomized phase II trial of the efficacy and safety of trastuzumab combined with docetaxel in patients with human epidermal growth factor receptor 2-positive metastatic breast cancer administered as first-line treatment: the M77001 study group.", "type" : "article-journal", "volume" : "23" }, "uris" : [ "http://www.mendeley.com/documents/?uuid=9f423b3e-49f5-4a61-84a0-9a5d7b54006e" ] }, { "id" : "ITEM-3", "itemData" : { "DOI" : "10.1056/NEJMoa0910383", "ISSN" : "1533-4406", "PMID" : "21991949", "abstract" : "Trastuzumab improves survival in the adjuvant treatment of HER-positive breast cancer, although combined therapy with anthracycline-based regimens has been associated with cardiac toxicity. We wanted to evaluate the efficacy and safety of a new nonanthracycline regimen with trastuzumab.", "author" : [ { "dropping-particle" : "", "family" : "Slamon", "given" : "Dennis", "non-dropping-particle" : "", "parse-names" : false, "suffix" : "" }, { "dropping-particle" : "", "family" : "Eiermann", "given" : "Wolfgang", "non-dropping-particle" : "", "parse-names" : false, "suffix" : "" }, { "dropping-particle" : "", "family" : "Robert", "given" : "Nicholas", "non-dropping-particle" : "", "parse-names" : false, "suffix" : "" }, { "dropping-particle" : "", "family" : "Pienkowski", "given" : "Tadeusz", "non-dropping-particle" : "", "parse-names" : false, "suffix" : "" }, { "dropping-particle" : "", "family" : "Martin", "given" : "Miguel", "non-dropping-particle" : "", "parse-names" : false, "suffix" : "" }, { "dropping-particle" : "", "family" : "Press", "given" : "Michael", "non-dropping-particle" : "", "parse-names" : false, "suffix" : "" }, { "dropping-particle" : "", "family" : "Mackey", "given" : "John", "non-dropping-particle" : "", "parse-names" : false, "suffix" : "" }, { "dropping-particle" : "", "family" : "Glaspy", "given" : "John", "non-dropping-particle" : "", "parse-names" : false, "suffix" : "" }, { "dropping-particle" : "", "family" : "Chan", "given" : "Arlene", "non-dropping-particle" : "", "parse-names" : false, "suffix" : "" }, { "dropping-particle" : "", "family" : "Pawlicki", "given" : "Marek", "non-dropping-particle" : "", "parse-names" : false, "suffix" : "" }, { "dropping-particle" : "", "family" : "Pinter", "given" : "Tamas", "non-dropping-particle" : "", "parse-names" : false, "suffix" : "" }, { "dropping-particle" : "", "family" : "Valero", "given" : "Vicente", "non-dropping-particle" : "", "parse-names" : false, "suffix" : "" }, { "dropping-particle" : "", "family" : "Liu", "given" : "Mei-Ching", "non-dropping-particle" : "", "parse-names" : false, "suffix" : "" }, { "dropping-particle" : "", "family" : "Sauter", "given" : "Guido", "non-dropping-particle" : "", "parse-names" : false, "suffix" : "" }, { "dropping-particle" : "", "family" : "Minckwitz", "given" : "Gunter", "non-dropping-particle" : "von", "parse-names" : false, "suffix" : "" }, { "dropping-particle" : "", "family" : "Visco", "given" : "Frances", "non-dropping-particle" : "", "parse-names" : false, "suffix" : "" }, { "dropping-particle" : "", "family" : "Bee", "given" : "Valerie", "non-dropping-particle" : "", "parse-names" : false, "suffix" : "" }, { "dropping-particle" : "", "family" : "Buyse", "given" : "Marc", "non-dropping-particle" : "", "parse-names" : false, "suffix" : "" }, { "dropping-particle" : "", "family" : "Bendahmane", "given" : "Belguendouz", "non-dropping-particle" : "", "parse-names" : false, "suffix" : "" }, { "dropping-particle" : "", "family" : "Tabah-Fisch", "given" : "Isabelle", "non-dropping-particle" : "", "parse-names" : false, "suffix" : "" }, { "dropping-particle" : "", "family" : "Lindsay", "given" : "Mary-Ann", "non-dropping-particle" : "", "parse-names" : false, "suffix" : "" }, { "dropping-particle" : "", "family" : "Riva", "given" : "Alessandro", "non-dropping-particle" : "", "parse-names" : false, "suffix" : "" }, { "dropping-particle" : "", "family" : "Crown", "given" : "John", "non-dropping-particle" : "", "parse-names" : false, "suffix" : "" } ], "container-title" : "The New England journal of medicine", "id" : "ITEM-3", "issue" : "14", "issued" : { "date-parts" : [ [ "2011", "10", "6" ] ] }, "page" : "1273-83", "title" : "Adjuvant trastuzumab in HER2-positive breast cancer.", "type" : "article-journal", "volume" : "365" }, "uris" : [ "http://www.mendeley.com/documents/?uuid=2d2e9819-e2ea-4a01-9454-d2fa21ef8b2a" ] } ], "mendeley" : { "previouslyFormattedCitation" : "&lt;sup&gt;19\u201321&lt;/sup&gt;"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19–21</w:t>
      </w:r>
      <w:r w:rsidR="0036708D" w:rsidRPr="007E40FA">
        <w:rPr>
          <w:rFonts w:ascii="Times New Roman" w:hAnsi="Times New Roman"/>
          <w:sz w:val="24"/>
          <w:szCs w:val="24"/>
        </w:rPr>
        <w:fldChar w:fldCharType="end"/>
      </w:r>
      <w:r w:rsidR="00625FA1" w:rsidRPr="007E40FA">
        <w:rPr>
          <w:rFonts w:ascii="Times New Roman" w:hAnsi="Times New Roman"/>
          <w:sz w:val="24"/>
          <w:szCs w:val="24"/>
        </w:rPr>
        <w:t xml:space="preserve">. However, these studies suggest that Herceptin may be being </w:t>
      </w:r>
      <w:r w:rsidR="008E7ED2" w:rsidRPr="007E40FA">
        <w:rPr>
          <w:rFonts w:ascii="Times New Roman" w:hAnsi="Times New Roman"/>
          <w:sz w:val="24"/>
          <w:szCs w:val="24"/>
        </w:rPr>
        <w:t>sub-</w:t>
      </w:r>
      <w:r w:rsidR="00796AED" w:rsidRPr="007E40FA">
        <w:rPr>
          <w:rFonts w:ascii="Times New Roman" w:hAnsi="Times New Roman"/>
          <w:sz w:val="24"/>
          <w:szCs w:val="24"/>
        </w:rPr>
        <w:t>optimally utilized</w:t>
      </w:r>
      <w:r w:rsidR="00625FA1" w:rsidRPr="007E40FA">
        <w:rPr>
          <w:rFonts w:ascii="Times New Roman" w:hAnsi="Times New Roman"/>
          <w:sz w:val="24"/>
          <w:szCs w:val="24"/>
        </w:rPr>
        <w:t xml:space="preserve"> and that CTC characterization may aid in predicting treatment response. Ultimately, </w:t>
      </w:r>
      <w:r w:rsidR="00D178C2" w:rsidRPr="007E40FA">
        <w:rPr>
          <w:rFonts w:ascii="Times New Roman" w:hAnsi="Times New Roman"/>
          <w:sz w:val="24"/>
          <w:szCs w:val="24"/>
        </w:rPr>
        <w:t xml:space="preserve">CTC </w:t>
      </w:r>
      <w:r w:rsidR="00480999" w:rsidRPr="007E40FA">
        <w:rPr>
          <w:rFonts w:ascii="Times New Roman" w:hAnsi="Times New Roman"/>
          <w:sz w:val="24"/>
          <w:szCs w:val="24"/>
        </w:rPr>
        <w:t>characterization</w:t>
      </w:r>
      <w:r w:rsidR="00D178C2" w:rsidRPr="007E40FA">
        <w:rPr>
          <w:rFonts w:ascii="Times New Roman" w:hAnsi="Times New Roman"/>
          <w:sz w:val="24"/>
          <w:szCs w:val="24"/>
        </w:rPr>
        <w:t xml:space="preserve"> may have the potential to improve</w:t>
      </w:r>
      <w:r w:rsidR="00E73953" w:rsidRPr="007E40FA">
        <w:rPr>
          <w:rFonts w:ascii="Times New Roman" w:hAnsi="Times New Roman"/>
          <w:sz w:val="24"/>
          <w:szCs w:val="24"/>
        </w:rPr>
        <w:t xml:space="preserve"> personalized </w:t>
      </w:r>
      <w:r w:rsidR="00625FA1" w:rsidRPr="007E40FA">
        <w:rPr>
          <w:rFonts w:ascii="Times New Roman" w:hAnsi="Times New Roman"/>
          <w:sz w:val="24"/>
          <w:szCs w:val="24"/>
        </w:rPr>
        <w:t>care</w:t>
      </w:r>
      <w:r w:rsidR="00E73953" w:rsidRPr="007E40FA">
        <w:rPr>
          <w:rFonts w:ascii="Times New Roman" w:hAnsi="Times New Roman"/>
          <w:sz w:val="24"/>
          <w:szCs w:val="24"/>
        </w:rPr>
        <w:t>.</w:t>
      </w:r>
    </w:p>
    <w:p w:rsidR="002051C5" w:rsidRPr="007E40FA" w:rsidRDefault="002051C5" w:rsidP="001F0875">
      <w:pPr>
        <w:spacing w:after="0" w:line="240" w:lineRule="auto"/>
        <w:jc w:val="both"/>
        <w:rPr>
          <w:rFonts w:ascii="Times New Roman" w:hAnsi="Times New Roman"/>
          <w:sz w:val="24"/>
          <w:szCs w:val="24"/>
        </w:rPr>
      </w:pPr>
    </w:p>
    <w:p w:rsidR="00E73953" w:rsidRPr="007E40FA" w:rsidRDefault="00E73953" w:rsidP="001F0875">
      <w:pPr>
        <w:autoSpaceDE w:val="0"/>
        <w:autoSpaceDN w:val="0"/>
        <w:adjustRightInd w:val="0"/>
        <w:spacing w:after="0" w:line="240" w:lineRule="auto"/>
        <w:jc w:val="both"/>
        <w:rPr>
          <w:rFonts w:ascii="Times New Roman" w:hAnsi="Times New Roman"/>
          <w:sz w:val="24"/>
          <w:szCs w:val="24"/>
        </w:rPr>
      </w:pPr>
      <w:r w:rsidRPr="007E40FA">
        <w:rPr>
          <w:rFonts w:ascii="Times New Roman" w:hAnsi="Times New Roman"/>
          <w:sz w:val="24"/>
          <w:szCs w:val="24"/>
        </w:rPr>
        <w:t>CTC research is unique in that it has largely utilized a bedside-to-</w:t>
      </w:r>
      <w:proofErr w:type="spellStart"/>
      <w:r w:rsidRPr="007E40FA">
        <w:rPr>
          <w:rFonts w:ascii="Times New Roman" w:hAnsi="Times New Roman"/>
          <w:sz w:val="24"/>
          <w:szCs w:val="24"/>
        </w:rPr>
        <w:t>benchtop</w:t>
      </w:r>
      <w:proofErr w:type="spellEnd"/>
      <w:r w:rsidRPr="007E40FA">
        <w:rPr>
          <w:rFonts w:ascii="Times New Roman" w:hAnsi="Times New Roman"/>
          <w:sz w:val="24"/>
          <w:szCs w:val="24"/>
        </w:rPr>
        <w:t xml:space="preserve"> approach. This method, unlike </w:t>
      </w:r>
      <w:proofErr w:type="spellStart"/>
      <w:r w:rsidRPr="007E40FA">
        <w:rPr>
          <w:rFonts w:ascii="Times New Roman" w:hAnsi="Times New Roman"/>
          <w:sz w:val="24"/>
          <w:szCs w:val="24"/>
        </w:rPr>
        <w:t>benchtop</w:t>
      </w:r>
      <w:proofErr w:type="spellEnd"/>
      <w:r w:rsidRPr="007E40FA">
        <w:rPr>
          <w:rFonts w:ascii="Times New Roman" w:hAnsi="Times New Roman"/>
          <w:sz w:val="24"/>
          <w:szCs w:val="24"/>
        </w:rPr>
        <w:t xml:space="preserve">-to-bedside research, which can often take years to impact patient care, has allowed CTCs quick entry into the clinical setting. However, physicians are hesitant to use results from CTC analysis in patient treatment decision-making due to a lack of understanding of their underlying biology. Therefore appropriate </w:t>
      </w:r>
      <w:r w:rsidR="00480999" w:rsidRPr="007E40FA">
        <w:rPr>
          <w:rFonts w:ascii="Times New Roman" w:hAnsi="Times New Roman"/>
          <w:sz w:val="24"/>
          <w:szCs w:val="24"/>
        </w:rPr>
        <w:t xml:space="preserve">pre-clinical </w:t>
      </w:r>
      <w:r w:rsidRPr="007E40FA">
        <w:rPr>
          <w:rFonts w:ascii="Times New Roman" w:hAnsi="Times New Roman"/>
          <w:sz w:val="24"/>
          <w:szCs w:val="24"/>
        </w:rPr>
        <w:t xml:space="preserve">mouse models </w:t>
      </w:r>
      <w:r w:rsidR="00480999" w:rsidRPr="007E40FA">
        <w:rPr>
          <w:rFonts w:ascii="Times New Roman" w:hAnsi="Times New Roman"/>
          <w:sz w:val="24"/>
          <w:szCs w:val="24"/>
        </w:rPr>
        <w:t xml:space="preserve">of metastasis </w:t>
      </w:r>
      <w:r w:rsidRPr="007E40FA">
        <w:rPr>
          <w:rFonts w:ascii="Times New Roman" w:hAnsi="Times New Roman"/>
          <w:sz w:val="24"/>
          <w:szCs w:val="24"/>
        </w:rPr>
        <w:t xml:space="preserve">and complementary CTC analysis techniques must be utilized in order to </w:t>
      </w:r>
      <w:r w:rsidR="00480999" w:rsidRPr="007E40FA">
        <w:rPr>
          <w:rFonts w:ascii="Times New Roman" w:hAnsi="Times New Roman"/>
          <w:sz w:val="24"/>
          <w:szCs w:val="24"/>
        </w:rPr>
        <w:t>investigate</w:t>
      </w:r>
      <w:r w:rsidRPr="007E40FA">
        <w:rPr>
          <w:rFonts w:ascii="Times New Roman" w:hAnsi="Times New Roman"/>
          <w:sz w:val="24"/>
          <w:szCs w:val="24"/>
        </w:rPr>
        <w:t xml:space="preserve"> these outstanding questions.</w:t>
      </w:r>
      <w:r w:rsidR="00D55ADC" w:rsidRPr="007E40FA">
        <w:rPr>
          <w:rFonts w:ascii="Times New Roman" w:hAnsi="Times New Roman"/>
          <w:sz w:val="24"/>
          <w:szCs w:val="24"/>
        </w:rPr>
        <w:t xml:space="preserve"> </w:t>
      </w:r>
      <w:r w:rsidR="00D55ADC" w:rsidRPr="007E40FA">
        <w:rPr>
          <w:rFonts w:ascii="Times New Roman" w:eastAsiaTheme="minorHAnsi" w:hAnsi="Times New Roman"/>
          <w:sz w:val="24"/>
          <w:szCs w:val="24"/>
        </w:rPr>
        <w:t xml:space="preserve">In general, there are 2 types of </w:t>
      </w:r>
      <w:r w:rsidR="0074233A" w:rsidRPr="007E40FA">
        <w:rPr>
          <w:rFonts w:ascii="Times New Roman" w:eastAsiaTheme="minorHAnsi" w:hAnsi="Times New Roman"/>
          <w:sz w:val="24"/>
          <w:szCs w:val="24"/>
        </w:rPr>
        <w:t>pre</w:t>
      </w:r>
      <w:r w:rsidR="00FB75F9" w:rsidRPr="007E40FA">
        <w:rPr>
          <w:rFonts w:ascii="Times New Roman" w:eastAsiaTheme="minorHAnsi" w:hAnsi="Times New Roman"/>
          <w:sz w:val="24"/>
          <w:szCs w:val="24"/>
        </w:rPr>
        <w:t>-</w:t>
      </w:r>
      <w:r w:rsidR="0074233A" w:rsidRPr="007E40FA">
        <w:rPr>
          <w:rFonts w:ascii="Times New Roman" w:eastAsiaTheme="minorHAnsi" w:hAnsi="Times New Roman"/>
          <w:sz w:val="24"/>
          <w:szCs w:val="24"/>
        </w:rPr>
        <w:t xml:space="preserve">clinical </w:t>
      </w:r>
      <w:r w:rsidR="00D55ADC" w:rsidRPr="007E40FA">
        <w:rPr>
          <w:rFonts w:ascii="Times New Roman" w:eastAsiaTheme="minorHAnsi" w:hAnsi="Times New Roman"/>
          <w:sz w:val="24"/>
          <w:szCs w:val="24"/>
        </w:rPr>
        <w:t xml:space="preserve">models used </w:t>
      </w:r>
      <w:r w:rsidR="0074233A" w:rsidRPr="007E40FA">
        <w:rPr>
          <w:rFonts w:ascii="Times New Roman" w:eastAsiaTheme="minorHAnsi" w:hAnsi="Times New Roman"/>
          <w:sz w:val="24"/>
          <w:szCs w:val="24"/>
        </w:rPr>
        <w:t xml:space="preserve">to study the metastatic cascade, </w:t>
      </w:r>
      <w:r w:rsidR="00FB75F9" w:rsidRPr="007E40FA">
        <w:rPr>
          <w:rFonts w:ascii="Times New Roman" w:eastAsiaTheme="minorHAnsi" w:hAnsi="Times New Roman"/>
          <w:b/>
          <w:i/>
          <w:sz w:val="24"/>
          <w:szCs w:val="24"/>
        </w:rPr>
        <w:t xml:space="preserve">(1) </w:t>
      </w:r>
      <w:r w:rsidR="00D55ADC" w:rsidRPr="007E40FA">
        <w:rPr>
          <w:rFonts w:ascii="Times New Roman" w:eastAsiaTheme="minorHAnsi" w:hAnsi="Times New Roman"/>
          <w:sz w:val="24"/>
          <w:szCs w:val="24"/>
        </w:rPr>
        <w:t>spontaneous metastasis models</w:t>
      </w:r>
      <w:r w:rsidR="00FB75F9" w:rsidRPr="007E40FA">
        <w:rPr>
          <w:rFonts w:ascii="Times New Roman" w:eastAsiaTheme="minorHAnsi" w:hAnsi="Times New Roman"/>
          <w:sz w:val="24"/>
          <w:szCs w:val="24"/>
        </w:rPr>
        <w:t>, which allow for the study of all the steps in the metastatic cascade,</w:t>
      </w:r>
      <w:r w:rsidR="00D55ADC" w:rsidRPr="007E40FA">
        <w:rPr>
          <w:rFonts w:ascii="Times New Roman" w:eastAsiaTheme="minorHAnsi" w:hAnsi="Times New Roman"/>
          <w:sz w:val="24"/>
          <w:szCs w:val="24"/>
        </w:rPr>
        <w:t xml:space="preserve"> and </w:t>
      </w:r>
      <w:r w:rsidR="00FB75F9" w:rsidRPr="007E40FA">
        <w:rPr>
          <w:rFonts w:ascii="Times New Roman" w:eastAsiaTheme="minorHAnsi" w:hAnsi="Times New Roman"/>
          <w:b/>
          <w:i/>
          <w:sz w:val="24"/>
          <w:szCs w:val="24"/>
        </w:rPr>
        <w:t>(2)</w:t>
      </w:r>
      <w:r w:rsidR="00FB75F9" w:rsidRPr="007E40FA">
        <w:rPr>
          <w:rFonts w:ascii="Times New Roman" w:eastAsiaTheme="minorHAnsi" w:hAnsi="Times New Roman"/>
          <w:sz w:val="24"/>
          <w:szCs w:val="24"/>
        </w:rPr>
        <w:t xml:space="preserve"> </w:t>
      </w:r>
      <w:r w:rsidR="00D55ADC" w:rsidRPr="007E40FA">
        <w:rPr>
          <w:rFonts w:ascii="Times New Roman" w:eastAsiaTheme="minorHAnsi" w:hAnsi="Times New Roman"/>
          <w:sz w:val="24"/>
          <w:szCs w:val="24"/>
        </w:rPr>
        <w:t>experimental metastasis models</w:t>
      </w:r>
      <w:r w:rsidR="00FB75F9" w:rsidRPr="007E40FA">
        <w:rPr>
          <w:rFonts w:ascii="Times New Roman" w:eastAsiaTheme="minorHAnsi" w:hAnsi="Times New Roman"/>
          <w:sz w:val="24"/>
          <w:szCs w:val="24"/>
        </w:rPr>
        <w:t>, which only allow for the study of later steps in the metastatic process such as extravasation and secondary tumor formation</w:t>
      </w:r>
      <w:r w:rsidR="0036708D" w:rsidRPr="007E40FA">
        <w:rPr>
          <w:rFonts w:ascii="Times New Roman" w:eastAsiaTheme="minorHAnsi" w:hAnsi="Times New Roman"/>
          <w:sz w:val="24"/>
          <w:szCs w:val="24"/>
        </w:rPr>
        <w:fldChar w:fldCharType="begin" w:fldLock="1"/>
      </w:r>
      <w:r w:rsidR="007F0560" w:rsidRPr="007E40FA">
        <w:rPr>
          <w:rFonts w:ascii="Times New Roman" w:eastAsiaTheme="minorHAnsi" w:hAnsi="Times New Roman"/>
          <w:sz w:val="24"/>
          <w:szCs w:val="24"/>
        </w:rPr>
        <w:instrText>ADDIN CSL_CITATION { "citationItems" : [ { "id" : "ITEM-1", "itemData" : { "ISSN" : "0262-0898", "PMID" : "9174129", "author" : [ { "dropping-particle" : "", "family" : "Welch", "given" : "D R", "non-dropping-particle" : "", "parse-names" : false, "suffix" : "" } ], "container-title" : "Clinical &amp; experimental metastasis", "id" : "ITEM-1", "issue" : "3", "issued" : { "date-parts" : [ [ "1997", "5" ] ] }, "page" : "272-306", "title" : "Technical considerations for studying cancer metastasis in vivo.", "type" : "article-journal", "volume" : "15" }, "uris" : [ "http://www.mendeley.com/documents/?uuid=70d9cca5-0dd3-444e-b11c-66fd3f88a165" ] } ], "mendeley" : { "previouslyFormattedCitation" : "&lt;sup&gt;22&lt;/sup&gt;" }, "properties" : { "noteIndex" : 0 }, "schema" : "https://github.com/citation-style-language/schema/raw/master/csl-citation.json" }</w:instrText>
      </w:r>
      <w:r w:rsidR="0036708D" w:rsidRPr="007E40FA">
        <w:rPr>
          <w:rFonts w:ascii="Times New Roman" w:eastAsiaTheme="minorHAnsi" w:hAnsi="Times New Roman"/>
          <w:sz w:val="24"/>
          <w:szCs w:val="24"/>
        </w:rPr>
        <w:fldChar w:fldCharType="separate"/>
      </w:r>
      <w:r w:rsidR="007F0560" w:rsidRPr="007E40FA">
        <w:rPr>
          <w:rFonts w:ascii="Times New Roman" w:eastAsiaTheme="minorHAnsi" w:hAnsi="Times New Roman"/>
          <w:noProof/>
          <w:sz w:val="24"/>
          <w:szCs w:val="24"/>
          <w:vertAlign w:val="superscript"/>
        </w:rPr>
        <w:t>22</w:t>
      </w:r>
      <w:r w:rsidR="0036708D" w:rsidRPr="007E40FA">
        <w:rPr>
          <w:rFonts w:ascii="Times New Roman" w:eastAsiaTheme="minorHAnsi" w:hAnsi="Times New Roman"/>
          <w:sz w:val="24"/>
          <w:szCs w:val="24"/>
        </w:rPr>
        <w:fldChar w:fldCharType="end"/>
      </w:r>
      <w:r w:rsidR="00FB75F9" w:rsidRPr="007E40FA">
        <w:rPr>
          <w:rFonts w:ascii="Times New Roman" w:eastAsiaTheme="minorHAnsi" w:hAnsi="Times New Roman"/>
          <w:sz w:val="24"/>
          <w:szCs w:val="24"/>
        </w:rPr>
        <w:t>.</w:t>
      </w:r>
      <w:r w:rsidR="00D55ADC" w:rsidRPr="007E40FA">
        <w:rPr>
          <w:rFonts w:ascii="Times New Roman" w:eastAsiaTheme="minorHAnsi" w:hAnsi="Times New Roman"/>
          <w:sz w:val="24"/>
          <w:szCs w:val="24"/>
        </w:rPr>
        <w:t xml:space="preserve"> Spontaneous metastasis models, </w:t>
      </w:r>
      <w:r w:rsidR="00FB75F9" w:rsidRPr="007E40FA">
        <w:rPr>
          <w:rFonts w:ascii="Times New Roman" w:eastAsiaTheme="minorHAnsi" w:hAnsi="Times New Roman"/>
          <w:sz w:val="24"/>
          <w:szCs w:val="24"/>
        </w:rPr>
        <w:t xml:space="preserve">involve </w:t>
      </w:r>
      <w:r w:rsidR="00D55ADC" w:rsidRPr="007E40FA">
        <w:rPr>
          <w:rFonts w:ascii="Times New Roman" w:eastAsiaTheme="minorHAnsi" w:hAnsi="Times New Roman"/>
          <w:sz w:val="24"/>
          <w:szCs w:val="24"/>
        </w:rPr>
        <w:t>tumor ce</w:t>
      </w:r>
      <w:r w:rsidR="0074233A" w:rsidRPr="007E40FA">
        <w:rPr>
          <w:rFonts w:ascii="Times New Roman" w:eastAsiaTheme="minorHAnsi" w:hAnsi="Times New Roman"/>
          <w:sz w:val="24"/>
          <w:szCs w:val="24"/>
        </w:rPr>
        <w:t xml:space="preserve">ll injections into </w:t>
      </w:r>
      <w:r w:rsidR="00D55ADC" w:rsidRPr="007E40FA">
        <w:rPr>
          <w:rFonts w:ascii="Times New Roman" w:eastAsiaTheme="minorHAnsi" w:hAnsi="Times New Roman"/>
          <w:sz w:val="24"/>
          <w:szCs w:val="24"/>
        </w:rPr>
        <w:t xml:space="preserve">appropriate </w:t>
      </w:r>
      <w:proofErr w:type="spellStart"/>
      <w:r w:rsidR="00D55ADC" w:rsidRPr="007E40FA">
        <w:rPr>
          <w:rFonts w:ascii="Times New Roman" w:eastAsiaTheme="minorHAnsi" w:hAnsi="Times New Roman"/>
          <w:sz w:val="24"/>
          <w:szCs w:val="24"/>
        </w:rPr>
        <w:t>orthotopic</w:t>
      </w:r>
      <w:proofErr w:type="spellEnd"/>
      <w:r w:rsidR="00D55ADC" w:rsidRPr="007E40FA">
        <w:rPr>
          <w:rFonts w:ascii="Times New Roman" w:eastAsiaTheme="minorHAnsi" w:hAnsi="Times New Roman"/>
          <w:sz w:val="24"/>
          <w:szCs w:val="24"/>
        </w:rPr>
        <w:t xml:space="preserve"> location</w:t>
      </w:r>
      <w:r w:rsidR="0074233A" w:rsidRPr="007E40FA">
        <w:rPr>
          <w:rFonts w:ascii="Times New Roman" w:eastAsiaTheme="minorHAnsi" w:hAnsi="Times New Roman"/>
          <w:sz w:val="24"/>
          <w:szCs w:val="24"/>
        </w:rPr>
        <w:t>s</w:t>
      </w:r>
      <w:r w:rsidR="00D55ADC" w:rsidRPr="007E40FA">
        <w:rPr>
          <w:rFonts w:ascii="Times New Roman" w:eastAsiaTheme="minorHAnsi" w:hAnsi="Times New Roman"/>
          <w:sz w:val="24"/>
          <w:szCs w:val="24"/>
        </w:rPr>
        <w:t xml:space="preserve"> (</w:t>
      </w:r>
      <w:r w:rsidR="000C7419" w:rsidRPr="007E40FA">
        <w:rPr>
          <w:rFonts w:ascii="Times New Roman" w:eastAsiaTheme="minorHAnsi" w:hAnsi="Times New Roman"/>
          <w:sz w:val="24"/>
          <w:szCs w:val="24"/>
        </w:rPr>
        <w:t>e.g.</w:t>
      </w:r>
      <w:r w:rsidR="00D55ADC" w:rsidRPr="007E40FA">
        <w:rPr>
          <w:rFonts w:ascii="Times New Roman" w:eastAsiaTheme="minorHAnsi" w:hAnsi="Times New Roman"/>
          <w:sz w:val="24"/>
          <w:szCs w:val="24"/>
        </w:rPr>
        <w:t xml:space="preserve"> injection of </w:t>
      </w:r>
      <w:r w:rsidR="0074233A" w:rsidRPr="007E40FA">
        <w:rPr>
          <w:rFonts w:ascii="Times New Roman" w:eastAsiaTheme="minorHAnsi" w:hAnsi="Times New Roman"/>
          <w:sz w:val="24"/>
          <w:szCs w:val="24"/>
        </w:rPr>
        <w:t>prostate</w:t>
      </w:r>
      <w:r w:rsidR="00D55ADC" w:rsidRPr="007E40FA">
        <w:rPr>
          <w:rFonts w:ascii="Times New Roman" w:eastAsiaTheme="minorHAnsi" w:hAnsi="Times New Roman"/>
          <w:sz w:val="24"/>
          <w:szCs w:val="24"/>
        </w:rPr>
        <w:t xml:space="preserve"> cancer cells into the </w:t>
      </w:r>
      <w:r w:rsidR="0074233A" w:rsidRPr="007E40FA">
        <w:rPr>
          <w:rFonts w:ascii="Times New Roman" w:eastAsiaTheme="minorHAnsi" w:hAnsi="Times New Roman"/>
          <w:sz w:val="24"/>
          <w:szCs w:val="24"/>
        </w:rPr>
        <w:t>prostate gland</w:t>
      </w:r>
      <w:r w:rsidR="00D55ADC" w:rsidRPr="007E40FA">
        <w:rPr>
          <w:rFonts w:ascii="Times New Roman" w:eastAsiaTheme="minorHAnsi" w:hAnsi="Times New Roman"/>
          <w:sz w:val="24"/>
          <w:szCs w:val="24"/>
        </w:rPr>
        <w:t xml:space="preserve"> for </w:t>
      </w:r>
      <w:r w:rsidR="0074233A" w:rsidRPr="007E40FA">
        <w:rPr>
          <w:rFonts w:ascii="Times New Roman" w:eastAsiaTheme="minorHAnsi" w:hAnsi="Times New Roman"/>
          <w:sz w:val="24"/>
          <w:szCs w:val="24"/>
        </w:rPr>
        <w:t xml:space="preserve">the </w:t>
      </w:r>
      <w:r w:rsidR="00D55ADC" w:rsidRPr="007E40FA">
        <w:rPr>
          <w:rFonts w:ascii="Times New Roman" w:eastAsiaTheme="minorHAnsi" w:hAnsi="Times New Roman"/>
          <w:sz w:val="24"/>
          <w:szCs w:val="24"/>
        </w:rPr>
        <w:t>study</w:t>
      </w:r>
      <w:r w:rsidR="0074233A" w:rsidRPr="007E40FA">
        <w:rPr>
          <w:rFonts w:ascii="Times New Roman" w:eastAsiaTheme="minorHAnsi" w:hAnsi="Times New Roman"/>
          <w:sz w:val="24"/>
          <w:szCs w:val="24"/>
        </w:rPr>
        <w:t xml:space="preserve"> of prostate</w:t>
      </w:r>
      <w:r w:rsidR="00D55ADC" w:rsidRPr="007E40FA">
        <w:rPr>
          <w:rFonts w:ascii="Times New Roman" w:eastAsiaTheme="minorHAnsi" w:hAnsi="Times New Roman"/>
          <w:sz w:val="24"/>
          <w:szCs w:val="24"/>
        </w:rPr>
        <w:t xml:space="preserve"> cancer)</w:t>
      </w:r>
      <w:r w:rsidR="00EA3C29" w:rsidRPr="007E40FA">
        <w:rPr>
          <w:rFonts w:ascii="Times New Roman" w:eastAsiaTheme="minorHAnsi" w:hAnsi="Times New Roman"/>
          <w:sz w:val="24"/>
          <w:szCs w:val="24"/>
        </w:rPr>
        <w:t>. C</w:t>
      </w:r>
      <w:r w:rsidR="00D55ADC" w:rsidRPr="007E40FA">
        <w:rPr>
          <w:rFonts w:ascii="Times New Roman" w:eastAsiaTheme="minorHAnsi" w:hAnsi="Times New Roman"/>
          <w:sz w:val="24"/>
          <w:szCs w:val="24"/>
        </w:rPr>
        <w:t>ells are</w:t>
      </w:r>
      <w:r w:rsidR="00EA3C29" w:rsidRPr="007E40FA">
        <w:rPr>
          <w:rFonts w:ascii="Times New Roman" w:eastAsiaTheme="minorHAnsi" w:hAnsi="Times New Roman"/>
          <w:sz w:val="24"/>
          <w:szCs w:val="24"/>
        </w:rPr>
        <w:t xml:space="preserve"> then</w:t>
      </w:r>
      <w:r w:rsidR="00D55ADC" w:rsidRPr="007E40FA">
        <w:rPr>
          <w:rFonts w:ascii="Times New Roman" w:eastAsiaTheme="minorHAnsi" w:hAnsi="Times New Roman"/>
          <w:sz w:val="24"/>
          <w:szCs w:val="24"/>
        </w:rPr>
        <w:t xml:space="preserve"> given time to form primary tumors and spontaneously metastasize to secondary sites such as the </w:t>
      </w:r>
      <w:r w:rsidR="0074233A" w:rsidRPr="007E40FA">
        <w:rPr>
          <w:rFonts w:ascii="Times New Roman" w:eastAsiaTheme="minorHAnsi" w:hAnsi="Times New Roman"/>
          <w:sz w:val="24"/>
          <w:szCs w:val="24"/>
        </w:rPr>
        <w:t>bone, lung, and lymph nodes</w:t>
      </w:r>
      <w:r w:rsidR="00D55ADC" w:rsidRPr="007E40FA">
        <w:rPr>
          <w:rFonts w:ascii="Times New Roman" w:eastAsiaTheme="minorHAnsi" w:hAnsi="Times New Roman"/>
          <w:sz w:val="24"/>
          <w:szCs w:val="24"/>
        </w:rPr>
        <w:t xml:space="preserve">. In contrast, experimental metastasis models involve </w:t>
      </w:r>
      <w:r w:rsidR="00FB75F9" w:rsidRPr="007E40FA">
        <w:rPr>
          <w:rFonts w:ascii="Times New Roman" w:eastAsiaTheme="minorHAnsi" w:hAnsi="Times New Roman"/>
          <w:sz w:val="24"/>
          <w:szCs w:val="24"/>
        </w:rPr>
        <w:t xml:space="preserve">direct </w:t>
      </w:r>
      <w:r w:rsidR="00D55ADC" w:rsidRPr="007E40FA">
        <w:rPr>
          <w:rFonts w:ascii="Times New Roman" w:eastAsiaTheme="minorHAnsi" w:hAnsi="Times New Roman"/>
          <w:sz w:val="24"/>
          <w:szCs w:val="24"/>
        </w:rPr>
        <w:t xml:space="preserve">injection </w:t>
      </w:r>
      <w:r w:rsidR="00FB75F9" w:rsidRPr="007E40FA">
        <w:rPr>
          <w:rFonts w:ascii="Times New Roman" w:eastAsiaTheme="minorHAnsi" w:hAnsi="Times New Roman"/>
          <w:sz w:val="24"/>
          <w:szCs w:val="24"/>
        </w:rPr>
        <w:t xml:space="preserve">of tumor cells </w:t>
      </w:r>
      <w:r w:rsidR="00D55ADC" w:rsidRPr="007E40FA">
        <w:rPr>
          <w:rFonts w:ascii="Times New Roman" w:eastAsiaTheme="minorHAnsi" w:hAnsi="Times New Roman"/>
          <w:sz w:val="24"/>
          <w:szCs w:val="24"/>
        </w:rPr>
        <w:t>into the bloodstream (</w:t>
      </w:r>
      <w:r w:rsidR="000C7419" w:rsidRPr="007E40FA">
        <w:rPr>
          <w:rFonts w:ascii="Times New Roman" w:eastAsiaTheme="minorHAnsi" w:hAnsi="Times New Roman"/>
          <w:sz w:val="24"/>
          <w:szCs w:val="24"/>
        </w:rPr>
        <w:t>e.g.</w:t>
      </w:r>
      <w:r w:rsidR="00D55ADC" w:rsidRPr="007E40FA">
        <w:rPr>
          <w:rFonts w:ascii="Times New Roman" w:eastAsiaTheme="minorHAnsi" w:hAnsi="Times New Roman"/>
          <w:sz w:val="24"/>
          <w:szCs w:val="24"/>
        </w:rPr>
        <w:t xml:space="preserve">. </w:t>
      </w:r>
      <w:r w:rsidR="00EA3C29" w:rsidRPr="007E40FA">
        <w:rPr>
          <w:rFonts w:ascii="Times New Roman" w:eastAsiaTheme="minorHAnsi" w:hAnsi="Times New Roman"/>
          <w:sz w:val="24"/>
          <w:szCs w:val="24"/>
        </w:rPr>
        <w:t xml:space="preserve">via </w:t>
      </w:r>
      <w:r w:rsidR="00D55ADC" w:rsidRPr="007E40FA">
        <w:rPr>
          <w:rFonts w:ascii="Times New Roman" w:eastAsiaTheme="minorHAnsi" w:hAnsi="Times New Roman"/>
          <w:sz w:val="24"/>
          <w:szCs w:val="24"/>
        </w:rPr>
        <w:t>tail</w:t>
      </w:r>
      <w:r w:rsidR="0074233A" w:rsidRPr="007E40FA">
        <w:rPr>
          <w:rFonts w:ascii="Times New Roman" w:eastAsiaTheme="minorHAnsi" w:hAnsi="Times New Roman"/>
          <w:sz w:val="24"/>
          <w:szCs w:val="24"/>
        </w:rPr>
        <w:t xml:space="preserve"> </w:t>
      </w:r>
      <w:r w:rsidR="00D55ADC" w:rsidRPr="007E40FA">
        <w:rPr>
          <w:rFonts w:ascii="Times New Roman" w:eastAsiaTheme="minorHAnsi" w:hAnsi="Times New Roman"/>
          <w:sz w:val="24"/>
          <w:szCs w:val="24"/>
        </w:rPr>
        <w:t xml:space="preserve">vein </w:t>
      </w:r>
      <w:r w:rsidR="00EA3C29" w:rsidRPr="007E40FA">
        <w:rPr>
          <w:rFonts w:ascii="Times New Roman" w:eastAsiaTheme="minorHAnsi" w:hAnsi="Times New Roman"/>
          <w:sz w:val="24"/>
          <w:szCs w:val="24"/>
        </w:rPr>
        <w:t xml:space="preserve">or </w:t>
      </w:r>
      <w:proofErr w:type="spellStart"/>
      <w:r w:rsidR="00EA3C29" w:rsidRPr="007E40FA">
        <w:rPr>
          <w:rFonts w:ascii="Times New Roman" w:eastAsiaTheme="minorHAnsi" w:hAnsi="Times New Roman"/>
          <w:sz w:val="24"/>
          <w:szCs w:val="24"/>
        </w:rPr>
        <w:t>intracardiac</w:t>
      </w:r>
      <w:proofErr w:type="spellEnd"/>
      <w:r w:rsidR="00EA3C29" w:rsidRPr="007E40FA">
        <w:rPr>
          <w:rFonts w:ascii="Times New Roman" w:eastAsiaTheme="minorHAnsi" w:hAnsi="Times New Roman"/>
          <w:sz w:val="24"/>
          <w:szCs w:val="24"/>
        </w:rPr>
        <w:t xml:space="preserve"> injection </w:t>
      </w:r>
      <w:r w:rsidR="00D55ADC" w:rsidRPr="007E40FA">
        <w:rPr>
          <w:rFonts w:ascii="Times New Roman" w:eastAsiaTheme="minorHAnsi" w:hAnsi="Times New Roman"/>
          <w:sz w:val="24"/>
          <w:szCs w:val="24"/>
        </w:rPr>
        <w:t xml:space="preserve">to target </w:t>
      </w:r>
      <w:r w:rsidR="00EA3C29" w:rsidRPr="007E40FA">
        <w:rPr>
          <w:rFonts w:ascii="Times New Roman" w:eastAsiaTheme="minorHAnsi" w:hAnsi="Times New Roman"/>
          <w:sz w:val="24"/>
          <w:szCs w:val="24"/>
        </w:rPr>
        <w:t>cells to specific locations</w:t>
      </w:r>
      <w:r w:rsidR="00D55ADC" w:rsidRPr="007E40FA">
        <w:rPr>
          <w:rFonts w:ascii="Times New Roman" w:eastAsiaTheme="minorHAnsi" w:hAnsi="Times New Roman"/>
          <w:sz w:val="24"/>
          <w:szCs w:val="24"/>
        </w:rPr>
        <w:t xml:space="preserve">) and therefore skip the initial steps of </w:t>
      </w:r>
      <w:proofErr w:type="spellStart"/>
      <w:r w:rsidR="00D55ADC" w:rsidRPr="007E40FA">
        <w:rPr>
          <w:rFonts w:ascii="Times New Roman" w:eastAsiaTheme="minorHAnsi" w:hAnsi="Times New Roman"/>
          <w:sz w:val="24"/>
          <w:szCs w:val="24"/>
        </w:rPr>
        <w:t>intravasation</w:t>
      </w:r>
      <w:proofErr w:type="spellEnd"/>
      <w:r w:rsidR="00D55ADC" w:rsidRPr="007E40FA">
        <w:rPr>
          <w:rFonts w:ascii="Times New Roman" w:eastAsiaTheme="minorHAnsi" w:hAnsi="Times New Roman"/>
          <w:sz w:val="24"/>
          <w:szCs w:val="24"/>
        </w:rPr>
        <w:t xml:space="preserve"> and dissemination to secondary organs</w:t>
      </w:r>
      <w:r w:rsidR="0036708D" w:rsidRPr="007E40FA">
        <w:rPr>
          <w:rFonts w:ascii="Times New Roman" w:eastAsiaTheme="minorHAnsi" w:hAnsi="Times New Roman"/>
          <w:sz w:val="24"/>
          <w:szCs w:val="24"/>
        </w:rPr>
        <w:fldChar w:fldCharType="begin" w:fldLock="1"/>
      </w:r>
      <w:r w:rsidR="007F0560" w:rsidRPr="007E40FA">
        <w:rPr>
          <w:rFonts w:ascii="Times New Roman" w:eastAsiaTheme="minorHAnsi" w:hAnsi="Times New Roman"/>
          <w:sz w:val="24"/>
          <w:szCs w:val="24"/>
        </w:rPr>
        <w:instrText>ADDIN CSL_CITATION { "citationItems" : [ { "id" : "ITEM-1", "itemData" : { "ISSN" : "0262-0898", "PMID" : "9174129", "author" : [ { "dropping-particle" : "", "family" : "Welch", "given" : "D R", "non-dropping-particle" : "", "parse-names" : false, "suffix" : "" } ], "container-title" : "Clinical &amp; experimental metastasis", "id" : "ITEM-1", "issue" : "3", "issued" : { "date-parts" : [ [ "1997", "5" ] ] }, "page" : "272-306", "title" : "Technical considerations for studying cancer metastasis in vivo.", "type" : "article-journal", "volume" : "15" }, "uris" : [ "http://www.mendeley.com/documents/?uuid=70d9cca5-0dd3-444e-b11c-66fd3f88a165" ] } ], "mendeley" : { "previouslyFormattedCitation" : "&lt;sup&gt;22&lt;/sup&gt;" }, "properties" : { "noteIndex" : 0 }, "schema" : "https://github.com/citation-style-language/schema/raw/master/csl-citation.json" }</w:instrText>
      </w:r>
      <w:r w:rsidR="0036708D" w:rsidRPr="007E40FA">
        <w:rPr>
          <w:rFonts w:ascii="Times New Roman" w:eastAsiaTheme="minorHAnsi" w:hAnsi="Times New Roman"/>
          <w:sz w:val="24"/>
          <w:szCs w:val="24"/>
        </w:rPr>
        <w:fldChar w:fldCharType="separate"/>
      </w:r>
      <w:r w:rsidR="007F0560" w:rsidRPr="007E40FA">
        <w:rPr>
          <w:rFonts w:ascii="Times New Roman" w:eastAsiaTheme="minorHAnsi" w:hAnsi="Times New Roman"/>
          <w:noProof/>
          <w:sz w:val="24"/>
          <w:szCs w:val="24"/>
          <w:vertAlign w:val="superscript"/>
        </w:rPr>
        <w:t>22</w:t>
      </w:r>
      <w:r w:rsidR="0036708D" w:rsidRPr="007E40FA">
        <w:rPr>
          <w:rFonts w:ascii="Times New Roman" w:eastAsiaTheme="minorHAnsi" w:hAnsi="Times New Roman"/>
          <w:sz w:val="24"/>
          <w:szCs w:val="24"/>
        </w:rPr>
        <w:fldChar w:fldCharType="end"/>
      </w:r>
      <w:r w:rsidR="00D55ADC" w:rsidRPr="007E40FA">
        <w:rPr>
          <w:rFonts w:ascii="Times New Roman" w:eastAsiaTheme="minorHAnsi" w:hAnsi="Times New Roman"/>
          <w:sz w:val="24"/>
          <w:szCs w:val="24"/>
        </w:rPr>
        <w:t>.</w:t>
      </w:r>
      <w:r w:rsidR="00EA3C29" w:rsidRPr="007E40FA">
        <w:rPr>
          <w:rFonts w:ascii="Times New Roman" w:eastAsiaTheme="minorHAnsi" w:hAnsi="Times New Roman"/>
          <w:sz w:val="24"/>
          <w:szCs w:val="24"/>
        </w:rPr>
        <w:t xml:space="preserve"> </w:t>
      </w:r>
      <w:r w:rsidR="00FE4028" w:rsidRPr="007E40FA">
        <w:rPr>
          <w:rFonts w:ascii="Times New Roman" w:eastAsiaTheme="minorHAnsi" w:hAnsi="Times New Roman"/>
          <w:sz w:val="24"/>
          <w:szCs w:val="24"/>
        </w:rPr>
        <w:t xml:space="preserve">Thus far the majority of CTC </w:t>
      </w:r>
      <w:r w:rsidR="00B8186E" w:rsidRPr="007E40FA">
        <w:rPr>
          <w:rFonts w:ascii="Times New Roman" w:eastAsiaTheme="minorHAnsi" w:hAnsi="Times New Roman"/>
          <w:sz w:val="24"/>
          <w:szCs w:val="24"/>
        </w:rPr>
        <w:t>analysis</w:t>
      </w:r>
      <w:r w:rsidR="00FE4028" w:rsidRPr="007E40FA">
        <w:rPr>
          <w:rFonts w:ascii="Times New Roman" w:eastAsiaTheme="minorHAnsi" w:hAnsi="Times New Roman"/>
          <w:sz w:val="24"/>
          <w:szCs w:val="24"/>
        </w:rPr>
        <w:t xml:space="preserve"> in </w:t>
      </w:r>
      <w:r w:rsidR="0036708D" w:rsidRPr="007E40FA">
        <w:rPr>
          <w:rFonts w:ascii="Times New Roman" w:eastAsiaTheme="minorHAnsi" w:hAnsi="Times New Roman"/>
          <w:i/>
          <w:sz w:val="24"/>
          <w:szCs w:val="24"/>
        </w:rPr>
        <w:lastRenderedPageBreak/>
        <w:t>in vivo</w:t>
      </w:r>
      <w:r w:rsidR="00FE4028" w:rsidRPr="007E40FA">
        <w:rPr>
          <w:rFonts w:ascii="Times New Roman" w:eastAsiaTheme="minorHAnsi" w:hAnsi="Times New Roman"/>
          <w:sz w:val="24"/>
          <w:szCs w:val="24"/>
        </w:rPr>
        <w:t xml:space="preserve"> model systems has been performed using either cytometry</w:t>
      </w:r>
      <w:r w:rsidR="00FF7709" w:rsidRPr="007E40FA">
        <w:rPr>
          <w:rFonts w:ascii="Times New Roman" w:eastAsiaTheme="minorHAnsi" w:hAnsi="Times New Roman"/>
          <w:sz w:val="24"/>
          <w:szCs w:val="24"/>
        </w:rPr>
        <w:t>-based</w:t>
      </w:r>
      <w:r w:rsidR="0036708D" w:rsidRPr="007E40FA">
        <w:rPr>
          <w:rFonts w:ascii="Times New Roman" w:eastAsiaTheme="minorHAnsi" w:hAnsi="Times New Roman"/>
          <w:sz w:val="24"/>
          <w:szCs w:val="24"/>
        </w:rPr>
        <w:fldChar w:fldCharType="begin" w:fldLock="1"/>
      </w:r>
      <w:r w:rsidR="007F0560" w:rsidRPr="007E40FA">
        <w:rPr>
          <w:rFonts w:ascii="Times New Roman" w:eastAsiaTheme="minorHAnsi" w:hAnsi="Times New Roman"/>
          <w:sz w:val="24"/>
          <w:szCs w:val="24"/>
        </w:rPr>
        <w:instrText>ADDIN CSL_CITATION { "citationItems" : [ { "id" : "ITEM-1", "itemData" : { "ISSN" : "1552-4930", "PMID" : "18855920", "abstract" : "The inability to sensitively detect metastatic cells in preclinical models of cancer has created challenges for studying metastasis in experimental systems. We previously developed a flow cytometry (FCM) method for quantifying circulating tumor cells (CTCs) in mouse models of breast cancer. We have adapted this methodology for analysis of tumor dissemination to bone marrow (BM) and lymph node (LN), and for analysis of these samples by laser scanning cytometry (LSC). Our objective was to implement these methodologies for characterization of tumor cell dissemination in preclinical models of cancer metastasis. Human cancer cells were injected into mice via mammary fat pad (MFP; spontaneous metastasis), tail vein (TV; targets lung), or intracardiac (IC; targets bone) routes. At several time points postinjection (4 h to 8 weeks), mice were sacrificed and blood, LNs, and BM were collected. Samples were immunomagnetically enriched and labeled with human leukocytic antigen-fluorescein isothiocyanate and CD45-PE antibodies (FCM/LSC), and propidium iodide (FCM) prior to quantitative analysis. Following MFP injection, CTCs increased over time, as did disseminated cells to the LN. Interestingly, tumor cells also spontaneously disseminated to BM, peaking at 2 weeks postinjection. Following TV injection, CTCs were initially high but decreased rapidly by 1 week before increasing to peak at endpoint. Combined with an observed concurrent increase in disseminated cells to LN and BM, this suggests that tumor cells may shed into the circulation from lung metastases that establish following initial cell delivery. Following IC injection, CTCs increased over time, peaking at 4 weeks. Tumor cells in the BM (most prevalent site of metastasis after IC injection) remained at moderate levels until peaking at endpoint. Combined use of FCM and LSC allows sensitive quantification of disseminated tumor cells in preclinical models of metastasis. These methods will be valuable for future studies aimed at testing new therapeutics in the metastatic setting.", "author" : [ { "dropping-particle" : "", "family" : "Goodale", "given" : "David", "non-dropping-particle" : "", "parse-names" : false, "suffix" : "" }, { "dropping-particle" : "", "family" : "Phay", "given" : "Carolina", "non-dropping-particle" : "", "parse-names" : false, "suffix" : "" }, { "dropping-particle" : "", "family" : "Postenka", "given" : "Carl O", "non-dropping-particle" : "", "parse-names" : false, "suffix" : "" }, { "dropping-particle" : "", "family" : "Keeney", "given" : "Michael", "non-dropping-particle" : "", "parse-names" : false, "suffix" : "" }, { "dropping-particle" : "", "family" : "Allan", "given" : "Alison L", "non-dropping-particle" : "", "parse-names" : false, "suffix" : "" } ], "container-title" : "Cytometry. Part A : the journal of the International Society for Analytical Cytology", "id" : "ITEM-1", "issue" : "4", "issued" : { "date-parts" : [ [ "2009", "4" ] ] }, "page" : "344-55", "title" : "Characterization of tumor cell dissemination patterns in preclinical models of cancer metastasis using flow cytometry and laser scanning cytometry.", "type" : "article-journal", "volume" : "75" }, "uris" : [ "http://www.mendeley.com/documents/?uuid=72708c5a-259f-42b0-9d89-76cc6095575c" ] } ], "mendeley" : { "previouslyFormattedCitation" : "&lt;sup&gt;23&lt;/sup&gt;" }, "properties" : { "noteIndex" : 0 }, "schema" : "https://github.com/citation-style-language/schema/raw/master/csl-citation.json" }</w:instrText>
      </w:r>
      <w:r w:rsidR="0036708D" w:rsidRPr="007E40FA">
        <w:rPr>
          <w:rFonts w:ascii="Times New Roman" w:eastAsiaTheme="minorHAnsi" w:hAnsi="Times New Roman"/>
          <w:sz w:val="24"/>
          <w:szCs w:val="24"/>
        </w:rPr>
        <w:fldChar w:fldCharType="separate"/>
      </w:r>
      <w:r w:rsidR="007F0560" w:rsidRPr="007E40FA">
        <w:rPr>
          <w:rFonts w:ascii="Times New Roman" w:eastAsiaTheme="minorHAnsi" w:hAnsi="Times New Roman"/>
          <w:noProof/>
          <w:sz w:val="24"/>
          <w:szCs w:val="24"/>
          <w:vertAlign w:val="superscript"/>
        </w:rPr>
        <w:t>23</w:t>
      </w:r>
      <w:r w:rsidR="0036708D" w:rsidRPr="007E40FA">
        <w:rPr>
          <w:rFonts w:ascii="Times New Roman" w:eastAsiaTheme="minorHAnsi" w:hAnsi="Times New Roman"/>
          <w:sz w:val="24"/>
          <w:szCs w:val="24"/>
        </w:rPr>
        <w:fldChar w:fldCharType="end"/>
      </w:r>
      <w:r w:rsidR="00FE4028" w:rsidRPr="007E40FA">
        <w:rPr>
          <w:rFonts w:ascii="Times New Roman" w:eastAsiaTheme="minorHAnsi" w:hAnsi="Times New Roman"/>
          <w:sz w:val="24"/>
          <w:szCs w:val="24"/>
        </w:rPr>
        <w:t xml:space="preserve"> or adapted human-based CTC techniques (e.g., </w:t>
      </w:r>
      <w:proofErr w:type="spellStart"/>
      <w:r w:rsidR="00FE4028" w:rsidRPr="007E40FA">
        <w:rPr>
          <w:rFonts w:ascii="Times New Roman" w:eastAsiaTheme="minorHAnsi" w:hAnsi="Times New Roman"/>
          <w:sz w:val="24"/>
          <w:szCs w:val="24"/>
        </w:rPr>
        <w:t>AdnaTest</w:t>
      </w:r>
      <w:proofErr w:type="spellEnd"/>
      <w:r w:rsidR="00FE4028" w:rsidRPr="007E40FA">
        <w:rPr>
          <w:rFonts w:ascii="Times New Roman" w:eastAsiaTheme="minorHAnsi" w:hAnsi="Times New Roman"/>
          <w:sz w:val="24"/>
          <w:szCs w:val="24"/>
        </w:rPr>
        <w:t>)</w:t>
      </w:r>
      <w:r w:rsidR="0036708D" w:rsidRPr="007E40FA">
        <w:rPr>
          <w:rFonts w:ascii="Times New Roman" w:eastAsiaTheme="minorHAnsi" w:hAnsi="Times New Roman"/>
          <w:sz w:val="24"/>
          <w:szCs w:val="24"/>
        </w:rPr>
        <w:fldChar w:fldCharType="begin" w:fldLock="1"/>
      </w:r>
      <w:r w:rsidR="007F0560" w:rsidRPr="007E40FA">
        <w:rPr>
          <w:rFonts w:ascii="Times New Roman" w:eastAsiaTheme="minorHAnsi" w:hAnsi="Times New Roman"/>
          <w:sz w:val="24"/>
          <w:szCs w:val="24"/>
        </w:rPr>
        <w:instrText>ADDIN CSL_CITATION { "citationItems" : [ { "id" : "ITEM-1", "itemData" : { "DOI" : "10.1186/1471-2407-12-178", "ISSN" : "1471-2407", "PMID" : "22591372", "abstract" : "Circulating tumour cells (CTCs) have shown prognostic relevance in metastatic breast, prostate, colon and pancreatic cancer. For further development of CTCs as a biomarker, we compared the performance of different protocols for CTC detection in murine breast cancer xenograft models (MDA-MB-231, MDA-MB-468 and KPL-4). Blood samples were taken from tumour bearing animals (20 to 200\u2009mm2) and analysed for CTCs using 1. an epithelial marker based enrichment method (AdnaTest), 2. an antibody independent technique, targeting human gene transcripts (qualitative PCR), and 3. an antibody-independent approach, targeting human DNA-sequences (quantitative PCR). Further, gene expression changes associated with epithelial-to-mesenchymal transition (EMT) were determined with an EMT-specific PCR assay.", "author" : [ { "dropping-particle" : "", "family" : "Gorges", "given" : "Tobias M", "non-dropping-particle" : "", "parse-names" : false, "suffix" : "" }, { "dropping-particle" : "", "family" : "Tinhofer", "given" : "Ingeborg", "non-dropping-particle" : "", "parse-names" : false, "suffix" : "" }, { "dropping-particle" : "", "family" : "Drosch", "given" : "Michael", "non-dropping-particle" : "", "parse-names" : false, "suffix" : "" }, { "dropping-particle" : "", "family" : "R\u00f6se", "given" : "Lars", "non-dropping-particle" : "", "parse-names" : false, "suffix" : "" }, { "dropping-particle" : "", "family" : "Zollner", "given" : "Thomas M", "non-dropping-particle" : "", "parse-names" : false, "suffix" : "" }, { "dropping-particle" : "", "family" : "Krahn", "given" : "Thomas", "non-dropping-particle" : "", "parse-names" : false, "suffix" : "" }, { "dropping-particle" : "", "family" : "Ahsen", "given" : "Oliver", "non-dropping-particle" : "von", "parse-names" : false, "suffix" : "" } ], "container-title" : "BMC cancer", "id" : "ITEM-1", "issued" : { "date-parts" : [ [ "2012", "1" ] ] }, "page" : "178", "title" : "Circulating tumour cells escape from EpCAM-based detection due to epithelial-to-mesenchymal transition.", "type" : "article-journal", "volume" : "12" }, "uris" : [ "http://www.mendeley.com/documents/?uuid=8a1b6d65-8451-481f-9516-38d7108d6767" ] } ], "mendeley" : { "previouslyFormattedCitation" : "&lt;sup&gt;24&lt;/sup&gt;" }, "properties" : { "noteIndex" : 0 }, "schema" : "https://github.com/citation-style-language/schema/raw/master/csl-citation.json" }</w:instrText>
      </w:r>
      <w:r w:rsidR="0036708D" w:rsidRPr="007E40FA">
        <w:rPr>
          <w:rFonts w:ascii="Times New Roman" w:eastAsiaTheme="minorHAnsi" w:hAnsi="Times New Roman"/>
          <w:sz w:val="24"/>
          <w:szCs w:val="24"/>
        </w:rPr>
        <w:fldChar w:fldCharType="separate"/>
      </w:r>
      <w:r w:rsidR="007F0560" w:rsidRPr="007E40FA">
        <w:rPr>
          <w:rFonts w:ascii="Times New Roman" w:eastAsiaTheme="minorHAnsi" w:hAnsi="Times New Roman"/>
          <w:noProof/>
          <w:sz w:val="24"/>
          <w:szCs w:val="24"/>
          <w:vertAlign w:val="superscript"/>
        </w:rPr>
        <w:t>24</w:t>
      </w:r>
      <w:r w:rsidR="0036708D" w:rsidRPr="007E40FA">
        <w:rPr>
          <w:rFonts w:ascii="Times New Roman" w:eastAsiaTheme="minorHAnsi" w:hAnsi="Times New Roman"/>
          <w:sz w:val="24"/>
          <w:szCs w:val="24"/>
        </w:rPr>
        <w:fldChar w:fldCharType="end"/>
      </w:r>
      <w:r w:rsidR="00FE4028" w:rsidRPr="007E40FA">
        <w:rPr>
          <w:rFonts w:ascii="Times New Roman" w:eastAsiaTheme="minorHAnsi" w:hAnsi="Times New Roman"/>
          <w:sz w:val="24"/>
          <w:szCs w:val="24"/>
        </w:rPr>
        <w:t xml:space="preserve">. Although useful, none of these techniques adequately reflect CTC enumeration using the gold standard CSS. </w:t>
      </w:r>
      <w:r w:rsidR="00480999" w:rsidRPr="007E40FA">
        <w:rPr>
          <w:rFonts w:ascii="Times New Roman" w:hAnsi="Times New Roman"/>
          <w:sz w:val="24"/>
          <w:szCs w:val="24"/>
        </w:rPr>
        <w:t xml:space="preserve">Based on the clinical approval, standardized nature, and widespread usage of the </w:t>
      </w:r>
      <w:r w:rsidR="004C0272" w:rsidRPr="007E40FA">
        <w:rPr>
          <w:rFonts w:ascii="Times New Roman" w:hAnsi="Times New Roman"/>
          <w:sz w:val="24"/>
          <w:szCs w:val="24"/>
        </w:rPr>
        <w:t>CSS</w:t>
      </w:r>
      <w:r w:rsidR="00480999" w:rsidRPr="007E40FA">
        <w:rPr>
          <w:rFonts w:ascii="Times New Roman" w:hAnsi="Times New Roman"/>
          <w:sz w:val="24"/>
          <w:szCs w:val="24"/>
        </w:rPr>
        <w:t xml:space="preserve">, </w:t>
      </w:r>
      <w:r w:rsidR="00041704" w:rsidRPr="007E40FA">
        <w:rPr>
          <w:rFonts w:ascii="Times New Roman" w:hAnsi="Times New Roman"/>
          <w:sz w:val="24"/>
          <w:szCs w:val="24"/>
        </w:rPr>
        <w:t xml:space="preserve">the development of </w:t>
      </w:r>
      <w:r w:rsidR="00480999" w:rsidRPr="007E40FA">
        <w:rPr>
          <w:rFonts w:ascii="Times New Roman" w:hAnsi="Times New Roman"/>
          <w:sz w:val="24"/>
          <w:szCs w:val="24"/>
        </w:rPr>
        <w:t xml:space="preserve">a CTC capture and detection technique </w:t>
      </w:r>
      <w:r w:rsidR="00041704" w:rsidRPr="007E40FA">
        <w:rPr>
          <w:rFonts w:ascii="Times New Roman" w:hAnsi="Times New Roman"/>
          <w:sz w:val="24"/>
          <w:szCs w:val="24"/>
        </w:rPr>
        <w:t xml:space="preserve">for </w:t>
      </w:r>
      <w:r w:rsidR="00041704" w:rsidRPr="007E40FA">
        <w:rPr>
          <w:rFonts w:ascii="Times New Roman" w:hAnsi="Times New Roman"/>
          <w:i/>
          <w:sz w:val="24"/>
          <w:szCs w:val="24"/>
        </w:rPr>
        <w:t>in vivo</w:t>
      </w:r>
      <w:r w:rsidR="00041704" w:rsidRPr="007E40FA">
        <w:rPr>
          <w:rFonts w:ascii="Times New Roman" w:hAnsi="Times New Roman"/>
          <w:sz w:val="24"/>
          <w:szCs w:val="24"/>
        </w:rPr>
        <w:t xml:space="preserve"> modeling </w:t>
      </w:r>
      <w:r w:rsidR="00480999" w:rsidRPr="007E40FA">
        <w:rPr>
          <w:rFonts w:ascii="Times New Roman" w:hAnsi="Times New Roman"/>
          <w:sz w:val="24"/>
          <w:szCs w:val="24"/>
        </w:rPr>
        <w:t>that utilize</w:t>
      </w:r>
      <w:r w:rsidR="00257A1E" w:rsidRPr="007E40FA">
        <w:rPr>
          <w:rFonts w:ascii="Times New Roman" w:hAnsi="Times New Roman"/>
          <w:sz w:val="24"/>
          <w:szCs w:val="24"/>
        </w:rPr>
        <w:t xml:space="preserve">s </w:t>
      </w:r>
      <w:r w:rsidR="00041704" w:rsidRPr="007E40FA">
        <w:rPr>
          <w:rFonts w:ascii="Times New Roman" w:hAnsi="Times New Roman"/>
          <w:sz w:val="24"/>
          <w:szCs w:val="24"/>
        </w:rPr>
        <w:t>equivalent</w:t>
      </w:r>
      <w:r w:rsidR="00480999" w:rsidRPr="007E40FA">
        <w:rPr>
          <w:rFonts w:ascii="Times New Roman" w:hAnsi="Times New Roman"/>
          <w:sz w:val="24"/>
          <w:szCs w:val="24"/>
        </w:rPr>
        <w:t xml:space="preserve"> sample preparation, processing, and identification criteria</w:t>
      </w:r>
      <w:r w:rsidR="00041704" w:rsidRPr="007E40FA">
        <w:rPr>
          <w:rFonts w:ascii="Times New Roman" w:hAnsi="Times New Roman"/>
          <w:sz w:val="24"/>
          <w:szCs w:val="24"/>
        </w:rPr>
        <w:t xml:space="preserve"> </w:t>
      </w:r>
      <w:r w:rsidR="00480999" w:rsidRPr="007E40FA">
        <w:rPr>
          <w:rFonts w:ascii="Times New Roman" w:hAnsi="Times New Roman"/>
          <w:sz w:val="24"/>
          <w:szCs w:val="24"/>
        </w:rPr>
        <w:t xml:space="preserve">would be </w:t>
      </w:r>
      <w:r w:rsidR="007B14DD" w:rsidRPr="007E40FA">
        <w:rPr>
          <w:rFonts w:ascii="Times New Roman" w:hAnsi="Times New Roman"/>
          <w:sz w:val="24"/>
          <w:szCs w:val="24"/>
        </w:rPr>
        <w:t xml:space="preserve">advantageous as </w:t>
      </w:r>
      <w:r w:rsidR="00480999" w:rsidRPr="007E40FA">
        <w:rPr>
          <w:rFonts w:ascii="Times New Roman" w:hAnsi="Times New Roman"/>
          <w:sz w:val="24"/>
          <w:szCs w:val="24"/>
        </w:rPr>
        <w:t xml:space="preserve">results </w:t>
      </w:r>
      <w:r w:rsidR="007B14DD" w:rsidRPr="007E40FA">
        <w:rPr>
          <w:rFonts w:ascii="Times New Roman" w:hAnsi="Times New Roman"/>
          <w:sz w:val="24"/>
          <w:szCs w:val="24"/>
        </w:rPr>
        <w:t xml:space="preserve">would be </w:t>
      </w:r>
      <w:r w:rsidR="00041704" w:rsidRPr="007E40FA">
        <w:rPr>
          <w:rFonts w:ascii="Times New Roman" w:hAnsi="Times New Roman"/>
          <w:sz w:val="24"/>
          <w:szCs w:val="24"/>
        </w:rPr>
        <w:t>comparable to those</w:t>
      </w:r>
      <w:r w:rsidR="007B14DD" w:rsidRPr="007E40FA">
        <w:rPr>
          <w:rFonts w:ascii="Times New Roman" w:hAnsi="Times New Roman"/>
          <w:sz w:val="24"/>
          <w:szCs w:val="24"/>
        </w:rPr>
        <w:t xml:space="preserve"> </w:t>
      </w:r>
      <w:r w:rsidR="00041704" w:rsidRPr="007E40FA">
        <w:rPr>
          <w:rFonts w:ascii="Times New Roman" w:hAnsi="Times New Roman"/>
          <w:sz w:val="24"/>
          <w:szCs w:val="24"/>
        </w:rPr>
        <w:t xml:space="preserve">obtained </w:t>
      </w:r>
      <w:r w:rsidR="007B14DD" w:rsidRPr="007E40FA">
        <w:rPr>
          <w:rFonts w:ascii="Times New Roman" w:hAnsi="Times New Roman"/>
          <w:sz w:val="24"/>
          <w:szCs w:val="24"/>
        </w:rPr>
        <w:t xml:space="preserve">from patient samples. However, due to the volume requirements of </w:t>
      </w:r>
      <w:r w:rsidR="00FC1CA6" w:rsidRPr="007E40FA">
        <w:rPr>
          <w:rFonts w:ascii="Times New Roman" w:hAnsi="Times New Roman"/>
          <w:sz w:val="24"/>
          <w:szCs w:val="24"/>
        </w:rPr>
        <w:t xml:space="preserve">the </w:t>
      </w:r>
      <w:r w:rsidR="00ED2A1E" w:rsidRPr="007E40FA">
        <w:rPr>
          <w:rFonts w:ascii="Times New Roman" w:hAnsi="Times New Roman"/>
          <w:sz w:val="24"/>
          <w:szCs w:val="24"/>
        </w:rPr>
        <w:t>p</w:t>
      </w:r>
      <w:r w:rsidR="004C0272" w:rsidRPr="007E40FA">
        <w:rPr>
          <w:rFonts w:ascii="Times New Roman" w:hAnsi="Times New Roman"/>
          <w:sz w:val="24"/>
          <w:szCs w:val="24"/>
        </w:rPr>
        <w:t>reparation instrument</w:t>
      </w:r>
      <w:r w:rsidR="007B14DD" w:rsidRPr="007E40FA">
        <w:rPr>
          <w:rFonts w:ascii="Times New Roman" w:hAnsi="Times New Roman"/>
          <w:sz w:val="24"/>
          <w:szCs w:val="24"/>
        </w:rPr>
        <w:t xml:space="preserve"> it is not possible to process </w:t>
      </w:r>
      <w:r w:rsidR="00041704" w:rsidRPr="007E40FA">
        <w:rPr>
          <w:rFonts w:ascii="Times New Roman" w:hAnsi="Times New Roman"/>
          <w:sz w:val="24"/>
          <w:szCs w:val="24"/>
        </w:rPr>
        <w:t>small volumes of blood us</w:t>
      </w:r>
      <w:r w:rsidR="00FC1CA6" w:rsidRPr="007E40FA">
        <w:rPr>
          <w:rFonts w:ascii="Times New Roman" w:hAnsi="Times New Roman"/>
          <w:sz w:val="24"/>
          <w:szCs w:val="24"/>
        </w:rPr>
        <w:t>ing this</w:t>
      </w:r>
      <w:r w:rsidR="00041704" w:rsidRPr="007E40FA">
        <w:rPr>
          <w:rFonts w:ascii="Times New Roman" w:hAnsi="Times New Roman"/>
          <w:sz w:val="24"/>
          <w:szCs w:val="24"/>
        </w:rPr>
        <w:t xml:space="preserve"> automated </w:t>
      </w:r>
      <w:r w:rsidR="00FC1CA6" w:rsidRPr="007E40FA">
        <w:rPr>
          <w:rFonts w:ascii="Times New Roman" w:hAnsi="Times New Roman"/>
          <w:sz w:val="24"/>
          <w:szCs w:val="24"/>
        </w:rPr>
        <w:t>platform</w:t>
      </w:r>
      <w:r w:rsidR="007B14DD" w:rsidRPr="007E40FA">
        <w:rPr>
          <w:rFonts w:ascii="Times New Roman" w:hAnsi="Times New Roman"/>
          <w:sz w:val="24"/>
          <w:szCs w:val="24"/>
        </w:rPr>
        <w:t xml:space="preserve">. </w:t>
      </w:r>
      <w:r w:rsidR="00E72801" w:rsidRPr="007E40FA">
        <w:rPr>
          <w:rFonts w:ascii="Times New Roman" w:hAnsi="Times New Roman"/>
          <w:sz w:val="24"/>
          <w:szCs w:val="24"/>
        </w:rPr>
        <w:t xml:space="preserve">In addition, previous work by </w:t>
      </w:r>
      <w:proofErr w:type="spellStart"/>
      <w:r w:rsidR="004E3D16" w:rsidRPr="007E40FA">
        <w:rPr>
          <w:rFonts w:ascii="Times New Roman" w:hAnsi="Times New Roman"/>
          <w:sz w:val="24"/>
          <w:szCs w:val="24"/>
        </w:rPr>
        <w:t>Eliane</w:t>
      </w:r>
      <w:proofErr w:type="spellEnd"/>
      <w:r w:rsidR="00E72801" w:rsidRPr="007E40FA">
        <w:rPr>
          <w:rFonts w:ascii="Times New Roman" w:hAnsi="Times New Roman"/>
          <w:sz w:val="24"/>
          <w:szCs w:val="24"/>
        </w:rPr>
        <w:t xml:space="preserve"> et al.,</w:t>
      </w:r>
      <w:r w:rsidR="004E3D16" w:rsidRPr="007E40FA">
        <w:rPr>
          <w:rFonts w:ascii="Times New Roman" w:hAnsi="Times New Roman"/>
          <w:sz w:val="24"/>
          <w:szCs w:val="24"/>
        </w:rPr>
        <w:t xml:space="preserve"> (2008)</w:t>
      </w:r>
      <w:r w:rsidR="00E72801" w:rsidRPr="007E40FA">
        <w:rPr>
          <w:rFonts w:ascii="Times New Roman" w:hAnsi="Times New Roman"/>
          <w:sz w:val="24"/>
          <w:szCs w:val="24"/>
        </w:rPr>
        <w:t xml:space="preserve"> has demonstrated that contamination of samples with mouse epithelial cells (which also meet the standard CTC definition [EpCAM</w:t>
      </w:r>
      <w:r w:rsidR="00E72801" w:rsidRPr="007E40FA">
        <w:rPr>
          <w:rFonts w:ascii="Times New Roman" w:hAnsi="Times New Roman"/>
          <w:sz w:val="24"/>
          <w:szCs w:val="24"/>
          <w:vertAlign w:val="superscript"/>
        </w:rPr>
        <w:t>+</w:t>
      </w:r>
      <w:r w:rsidR="00E72801" w:rsidRPr="007E40FA">
        <w:rPr>
          <w:rFonts w:ascii="Times New Roman" w:hAnsi="Times New Roman"/>
          <w:sz w:val="24"/>
          <w:szCs w:val="24"/>
        </w:rPr>
        <w:t>CK</w:t>
      </w:r>
      <w:r w:rsidR="00E72801" w:rsidRPr="007E40FA">
        <w:rPr>
          <w:rFonts w:ascii="Times New Roman" w:hAnsi="Times New Roman"/>
          <w:sz w:val="24"/>
          <w:szCs w:val="24"/>
          <w:vertAlign w:val="superscript"/>
        </w:rPr>
        <w:t>+</w:t>
      </w:r>
      <w:r w:rsidR="00E72801" w:rsidRPr="007E40FA">
        <w:rPr>
          <w:rFonts w:ascii="Times New Roman" w:hAnsi="Times New Roman"/>
          <w:sz w:val="24"/>
          <w:szCs w:val="24"/>
        </w:rPr>
        <w:t>DAPI</w:t>
      </w:r>
      <w:r w:rsidR="00E72801" w:rsidRPr="007E40FA">
        <w:rPr>
          <w:rFonts w:ascii="Times New Roman" w:hAnsi="Times New Roman"/>
          <w:sz w:val="24"/>
          <w:szCs w:val="24"/>
          <w:vertAlign w:val="superscript"/>
        </w:rPr>
        <w:t>+</w:t>
      </w:r>
      <w:r w:rsidR="00E72801" w:rsidRPr="007E40FA">
        <w:rPr>
          <w:rFonts w:ascii="Times New Roman" w:hAnsi="Times New Roman"/>
          <w:sz w:val="24"/>
          <w:szCs w:val="24"/>
        </w:rPr>
        <w:t>CD45</w:t>
      </w:r>
      <w:r w:rsidR="00E72801" w:rsidRPr="007E40FA">
        <w:rPr>
          <w:rFonts w:ascii="Times New Roman" w:hAnsi="Times New Roman"/>
          <w:sz w:val="24"/>
          <w:szCs w:val="24"/>
          <w:vertAlign w:val="superscript"/>
        </w:rPr>
        <w:t>-</w:t>
      </w:r>
      <w:r w:rsidR="00E72801" w:rsidRPr="007E40FA">
        <w:rPr>
          <w:rFonts w:ascii="Times New Roman" w:hAnsi="Times New Roman"/>
          <w:sz w:val="24"/>
          <w:szCs w:val="24"/>
        </w:rPr>
        <w:t xml:space="preserve">]) can lead to misclassification of mouse </w:t>
      </w:r>
      <w:r w:rsidR="00803880" w:rsidRPr="007E40FA">
        <w:rPr>
          <w:rFonts w:ascii="Times New Roman" w:hAnsi="Times New Roman"/>
          <w:sz w:val="24"/>
          <w:szCs w:val="24"/>
        </w:rPr>
        <w:t xml:space="preserve">squamous epithelial </w:t>
      </w:r>
      <w:r w:rsidR="00E72801" w:rsidRPr="007E40FA">
        <w:rPr>
          <w:rFonts w:ascii="Times New Roman" w:hAnsi="Times New Roman"/>
          <w:sz w:val="24"/>
          <w:szCs w:val="24"/>
        </w:rPr>
        <w:t>cells as CTCs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"10.1158/0008-5472.CAN-08-0630", "ISSN" : "1538-7445", "PMID" : "18632603", "abstract" : "Circulating tumor cells (CTC) are emerging as a powerful prognostic and predictive biomarker in several types of cancer, including breast, colon, and prostate. Studies of CTC in metastasis and further development of CTC as a biomarker in cancer have been limited by the inability to repetitively monitor CTC in mouse models of cancer. We have validated a method to enumerate CTC in blood samples obtained from living mice using a modified version of an in vitro diagnostic system for quantifying CTC in patients. Different routes of blood collection were tested to identify a method to reproducibly recover CTC from tumor-bearing mice without interference from contaminating normal murine epithelial cells. CTC are present in blood samples from mice bearing orthotopic xenografts of several different breast cancer cell lines and primary breast cancer cells from patient biopsies. We also show that this technology can be used for serial monitoring of CTC in mouse xenograft models of human breast cancer. These results establish a new method for studying CTC in mouse models of epithelial cancer, providing the foundation for studies of molecular regulation of CTC in cancer and CTC as biomarker for therapeutic efficacy.", "author" : [ { "dropping-particle" : "", "family" : "Eliane", "given" : "Jean-Pierre", "non-dropping-particle" : "", "parse-names" : false, "suffix" : "" }, { "dropping-particle" : "", "family" : "Repollet", "given" : "Madeline", "non-dropping-particle" : "", "parse-names" : false, "suffix" : "" }, { "dropping-particle" : "", "family" : "Luker", "given" : "Kathryn E", "non-dropping-particle" : "", "parse-names" : false, "suffix" : "" }, { "dropping-particle" : "", "family" : "Brown", "given" : "Martha", "non-dropping-particle" : "", "parse-names" : false, "suffix" : "" }, { "dropping-particle" : "", "family" : "Rae", "given" : "James M", "non-dropping-particle" : "", "parse-names" : false, "suffix" : "" }, { "dropping-particle" : "", "family" : "Dontu", "given" : "Gabriela", "non-dropping-particle" : "", "parse-names" : false, "suffix" : "" }, { "dropping-particle" : "", "family" : "Schott", "given" : "Anne F", "non-dropping-particle" : "", "parse-names" : false, "suffix" : "" }, { "dropping-particle" : "", "family" : "Wicha", "given" : "Max", "non-dropping-particle" : "", "parse-names" : false, "suffix" : "" }, { "dropping-particle" : "V", "family" : "Doyle", "given" : "Gerald", "non-dropping-particle" : "", "parse-names" : false, "suffix" : "" }, { "dropping-particle" : "", "family" : "Hayes", "given" : "Daniel F", "non-dropping-particle" : "", "parse-names" : false, "suffix" : "" }, { "dropping-particle" : "", "family" : "Luker", "given" : "Gary D", "non-dropping-particle" : "", "parse-names" : false, "suffix" : "" } ], "container-title" : "Cancer research", "id" : "ITEM-1", "issue" : "14", "issued" : { "date-parts" : [ [ "2008", "7", "15" ] ] }, "page" : "5529-32", "title" : "Monitoring serial changes in circulating human breast cancer cells in murine xenograft models.", "type" : "article-journal", "volume" : "68" }, "uris" : [ "http://www.mendeley.com/documents/?uuid=15fedbed-25a3-4774-880f-49dcf911f9e3" ] } ], "mendeley" : { "previouslyFormattedCitation" : "&lt;sup&gt;25&lt;/sup&gt;"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25</w:t>
      </w:r>
      <w:r w:rsidR="0036708D" w:rsidRPr="007E40FA">
        <w:rPr>
          <w:rFonts w:ascii="Times New Roman" w:hAnsi="Times New Roman"/>
          <w:sz w:val="24"/>
          <w:szCs w:val="24"/>
        </w:rPr>
        <w:fldChar w:fldCharType="end"/>
      </w:r>
      <w:r w:rsidR="00E72801" w:rsidRPr="007E40FA">
        <w:rPr>
          <w:rFonts w:ascii="Times New Roman" w:hAnsi="Times New Roman"/>
          <w:sz w:val="24"/>
          <w:szCs w:val="24"/>
        </w:rPr>
        <w:t xml:space="preserve">. To address these issues </w:t>
      </w:r>
      <w:r w:rsidR="00ED2A1E" w:rsidRPr="007E40FA">
        <w:rPr>
          <w:rFonts w:ascii="Times New Roman" w:hAnsi="Times New Roman"/>
          <w:sz w:val="24"/>
          <w:szCs w:val="24"/>
        </w:rPr>
        <w:t xml:space="preserve">an adapted technique that allows the utilization of the CSS CTC kit reagents combined with a manual isolation procedure was developed. The addition of a FITC labelled human leukocyte antigen (HLA) antibody to the assay allows </w:t>
      </w:r>
      <w:r w:rsidR="004E3D16" w:rsidRPr="007E40FA">
        <w:rPr>
          <w:rFonts w:ascii="Times New Roman" w:hAnsi="Times New Roman"/>
          <w:sz w:val="24"/>
          <w:szCs w:val="24"/>
        </w:rPr>
        <w:t xml:space="preserve">human tumor cells </w:t>
      </w:r>
      <w:r w:rsidR="00ED2A1E" w:rsidRPr="007E40FA">
        <w:rPr>
          <w:rFonts w:ascii="Times New Roman" w:hAnsi="Times New Roman"/>
          <w:sz w:val="24"/>
          <w:szCs w:val="24"/>
        </w:rPr>
        <w:t xml:space="preserve">to be distinguished </w:t>
      </w:r>
      <w:r w:rsidR="004E3D16" w:rsidRPr="007E40FA">
        <w:rPr>
          <w:rFonts w:ascii="Times New Roman" w:hAnsi="Times New Roman"/>
          <w:sz w:val="24"/>
          <w:szCs w:val="24"/>
        </w:rPr>
        <w:t>from mouse</w:t>
      </w:r>
      <w:r w:rsidR="00803880" w:rsidRPr="007E40FA">
        <w:rPr>
          <w:rFonts w:ascii="Times New Roman" w:hAnsi="Times New Roman"/>
          <w:sz w:val="24"/>
          <w:szCs w:val="24"/>
        </w:rPr>
        <w:t xml:space="preserve"> squamous</w:t>
      </w:r>
      <w:r w:rsidR="004E3D16" w:rsidRPr="007E40FA">
        <w:rPr>
          <w:rFonts w:ascii="Times New Roman" w:hAnsi="Times New Roman"/>
          <w:sz w:val="24"/>
          <w:szCs w:val="24"/>
        </w:rPr>
        <w:t xml:space="preserve"> epithelial cells</w:t>
      </w:r>
      <w:r w:rsidR="007B14DD" w:rsidRPr="007E40FA">
        <w:rPr>
          <w:rFonts w:ascii="Times New Roman" w:hAnsi="Times New Roman"/>
          <w:sz w:val="24"/>
          <w:szCs w:val="24"/>
        </w:rPr>
        <w:t xml:space="preserve">.   </w:t>
      </w:r>
    </w:p>
    <w:p w:rsidR="001F0875" w:rsidRPr="007E40FA" w:rsidRDefault="001F0875" w:rsidP="001F0875">
      <w:pPr>
        <w:autoSpaceDE w:val="0"/>
        <w:autoSpaceDN w:val="0"/>
        <w:adjustRightInd w:val="0"/>
        <w:spacing w:after="0" w:line="240" w:lineRule="auto"/>
        <w:jc w:val="both"/>
        <w:rPr>
          <w:rFonts w:ascii="Times New Roman" w:hAnsi="Times New Roman"/>
          <w:sz w:val="24"/>
          <w:szCs w:val="24"/>
        </w:rPr>
      </w:pPr>
    </w:p>
    <w:p w:rsidR="004B1B1C" w:rsidRPr="007E40FA" w:rsidRDefault="00FC1CA6" w:rsidP="001F0875">
      <w:pPr>
        <w:spacing w:after="0" w:line="240" w:lineRule="auto"/>
        <w:jc w:val="both"/>
        <w:rPr>
          <w:rFonts w:ascii="Times New Roman" w:eastAsiaTheme="minorHAnsi" w:hAnsi="Times New Roman"/>
          <w:sz w:val="24"/>
          <w:szCs w:val="24"/>
        </w:rPr>
      </w:pPr>
      <w:r w:rsidRPr="007E40FA">
        <w:rPr>
          <w:rFonts w:ascii="Times New Roman" w:eastAsiaTheme="minorHAnsi" w:hAnsi="Times New Roman"/>
          <w:sz w:val="24"/>
          <w:szCs w:val="24"/>
        </w:rPr>
        <w:t>T</w:t>
      </w:r>
      <w:r w:rsidR="009D2E8B" w:rsidRPr="007E40FA">
        <w:rPr>
          <w:rFonts w:ascii="Times New Roman" w:eastAsiaTheme="minorHAnsi" w:hAnsi="Times New Roman"/>
          <w:sz w:val="24"/>
          <w:szCs w:val="24"/>
        </w:rPr>
        <w:t>his manuscript describe</w:t>
      </w:r>
      <w:r w:rsidRPr="007E40FA">
        <w:rPr>
          <w:rFonts w:ascii="Times New Roman" w:eastAsiaTheme="minorHAnsi" w:hAnsi="Times New Roman"/>
          <w:sz w:val="24"/>
          <w:szCs w:val="24"/>
        </w:rPr>
        <w:t>s</w:t>
      </w:r>
      <w:r w:rsidR="009D2E8B" w:rsidRPr="007E40FA">
        <w:rPr>
          <w:rFonts w:ascii="Times New Roman" w:eastAsiaTheme="minorHAnsi" w:hAnsi="Times New Roman"/>
          <w:sz w:val="24"/>
          <w:szCs w:val="24"/>
        </w:rPr>
        <w:t xml:space="preserve"> the</w:t>
      </w:r>
      <w:r w:rsidR="002C3864" w:rsidRPr="007E40FA">
        <w:rPr>
          <w:rFonts w:ascii="Times New Roman" w:eastAsiaTheme="minorHAnsi" w:hAnsi="Times New Roman"/>
          <w:sz w:val="24"/>
          <w:szCs w:val="24"/>
        </w:rPr>
        <w:t xml:space="preserve"> </w:t>
      </w:r>
      <w:r w:rsidR="009D2E8B" w:rsidRPr="007E40FA">
        <w:rPr>
          <w:rFonts w:ascii="Times New Roman" w:eastAsiaTheme="minorHAnsi" w:hAnsi="Times New Roman"/>
          <w:sz w:val="24"/>
          <w:szCs w:val="24"/>
        </w:rPr>
        <w:t>standard</w:t>
      </w:r>
      <w:r w:rsidR="002C3864" w:rsidRPr="007E40FA">
        <w:rPr>
          <w:rFonts w:ascii="Times New Roman" w:eastAsiaTheme="minorHAnsi" w:hAnsi="Times New Roman"/>
          <w:sz w:val="24"/>
          <w:szCs w:val="24"/>
        </w:rPr>
        <w:t>,</w:t>
      </w:r>
      <w:r w:rsidR="009D2E8B" w:rsidRPr="007E40FA">
        <w:rPr>
          <w:rFonts w:ascii="Times New Roman" w:eastAsiaTheme="minorHAnsi" w:hAnsi="Times New Roman"/>
          <w:sz w:val="24"/>
          <w:szCs w:val="24"/>
        </w:rPr>
        <w:t xml:space="preserve"> </w:t>
      </w:r>
      <w:r w:rsidR="00257A1E" w:rsidRPr="007E40FA">
        <w:rPr>
          <w:rFonts w:ascii="Times New Roman" w:eastAsiaTheme="minorHAnsi" w:hAnsi="Times New Roman"/>
          <w:sz w:val="24"/>
          <w:szCs w:val="24"/>
        </w:rPr>
        <w:t xml:space="preserve">commercially </w:t>
      </w:r>
      <w:r w:rsidR="009D2E8B" w:rsidRPr="007E40FA">
        <w:rPr>
          <w:rFonts w:ascii="Times New Roman" w:eastAsiaTheme="minorHAnsi" w:hAnsi="Times New Roman"/>
          <w:sz w:val="24"/>
          <w:szCs w:val="24"/>
        </w:rPr>
        <w:t>developed and optimized</w:t>
      </w:r>
      <w:r w:rsidR="00257A1E" w:rsidRPr="007E40FA">
        <w:rPr>
          <w:rFonts w:ascii="Times New Roman" w:eastAsiaTheme="minorHAnsi" w:hAnsi="Times New Roman"/>
          <w:sz w:val="24"/>
          <w:szCs w:val="24"/>
        </w:rPr>
        <w:t xml:space="preserve"> </w:t>
      </w:r>
      <w:r w:rsidR="004C0272" w:rsidRPr="007E40FA">
        <w:rPr>
          <w:rFonts w:ascii="Times New Roman" w:eastAsiaTheme="minorHAnsi" w:hAnsi="Times New Roman"/>
          <w:sz w:val="24"/>
          <w:szCs w:val="24"/>
        </w:rPr>
        <w:t>CSS</w:t>
      </w:r>
      <w:r w:rsidR="009D2E8B" w:rsidRPr="007E40FA">
        <w:rPr>
          <w:rFonts w:ascii="Times New Roman" w:eastAsiaTheme="minorHAnsi" w:hAnsi="Times New Roman"/>
          <w:sz w:val="24"/>
          <w:szCs w:val="24"/>
        </w:rPr>
        <w:t xml:space="preserve"> protocol for </w:t>
      </w:r>
      <w:r w:rsidR="002C3864" w:rsidRPr="007E40FA">
        <w:rPr>
          <w:rFonts w:ascii="Times New Roman" w:eastAsiaTheme="minorHAnsi" w:hAnsi="Times New Roman"/>
          <w:sz w:val="24"/>
          <w:szCs w:val="24"/>
        </w:rPr>
        <w:t>processing</w:t>
      </w:r>
      <w:r w:rsidR="009D2E8B" w:rsidRPr="007E40FA">
        <w:rPr>
          <w:rFonts w:ascii="Times New Roman" w:eastAsiaTheme="minorHAnsi" w:hAnsi="Times New Roman"/>
          <w:sz w:val="24"/>
          <w:szCs w:val="24"/>
        </w:rPr>
        <w:t xml:space="preserve"> patient </w:t>
      </w:r>
      <w:r w:rsidR="002C3864" w:rsidRPr="007E40FA">
        <w:rPr>
          <w:rFonts w:ascii="Times New Roman" w:eastAsiaTheme="minorHAnsi" w:hAnsi="Times New Roman"/>
          <w:sz w:val="24"/>
          <w:szCs w:val="24"/>
        </w:rPr>
        <w:t xml:space="preserve">blood </w:t>
      </w:r>
      <w:r w:rsidR="009D2E8B" w:rsidRPr="007E40FA">
        <w:rPr>
          <w:rFonts w:ascii="Times New Roman" w:eastAsiaTheme="minorHAnsi" w:hAnsi="Times New Roman"/>
          <w:sz w:val="24"/>
          <w:szCs w:val="24"/>
        </w:rPr>
        <w:t xml:space="preserve">samples and </w:t>
      </w:r>
      <w:r w:rsidR="00257A1E" w:rsidRPr="007E40FA">
        <w:rPr>
          <w:rFonts w:ascii="Times New Roman" w:eastAsiaTheme="minorHAnsi" w:hAnsi="Times New Roman"/>
          <w:sz w:val="24"/>
          <w:szCs w:val="24"/>
        </w:rPr>
        <w:t xml:space="preserve">common pitfalls that may be encountered, including </w:t>
      </w:r>
      <w:r w:rsidR="00257A1E" w:rsidRPr="007E40FA">
        <w:rPr>
          <w:rFonts w:ascii="Times New Roman" w:hAnsi="Times New Roman"/>
          <w:sz w:val="24"/>
          <w:szCs w:val="24"/>
        </w:rPr>
        <w:t xml:space="preserve">discrepant items that can lead to CTC misclassification errors. In addition, </w:t>
      </w:r>
      <w:r w:rsidR="00ED2A1E" w:rsidRPr="007E40FA">
        <w:rPr>
          <w:rFonts w:ascii="Times New Roman" w:hAnsi="Times New Roman"/>
          <w:sz w:val="24"/>
          <w:szCs w:val="24"/>
        </w:rPr>
        <w:t xml:space="preserve">customization of the </w:t>
      </w:r>
      <w:r w:rsidR="004C0272" w:rsidRPr="007E40FA">
        <w:rPr>
          <w:rFonts w:ascii="Times New Roman" w:eastAsiaTheme="minorHAnsi" w:hAnsi="Times New Roman"/>
          <w:sz w:val="24"/>
          <w:szCs w:val="24"/>
        </w:rPr>
        <w:t>CSS</w:t>
      </w:r>
      <w:r w:rsidR="00257A1E" w:rsidRPr="007E40FA">
        <w:rPr>
          <w:rFonts w:ascii="Times New Roman" w:eastAsiaTheme="minorHAnsi" w:hAnsi="Times New Roman"/>
          <w:sz w:val="24"/>
          <w:szCs w:val="24"/>
        </w:rPr>
        <w:t xml:space="preserve"> assay</w:t>
      </w:r>
      <w:r w:rsidR="002C3864" w:rsidRPr="007E40FA">
        <w:rPr>
          <w:rFonts w:ascii="Times New Roman" w:eastAsiaTheme="minorHAnsi" w:hAnsi="Times New Roman"/>
          <w:sz w:val="24"/>
          <w:szCs w:val="24"/>
        </w:rPr>
        <w:t xml:space="preserve"> </w:t>
      </w:r>
      <w:r w:rsidR="009D2E8B" w:rsidRPr="007E40FA">
        <w:rPr>
          <w:rFonts w:ascii="Times New Roman" w:eastAsiaTheme="minorHAnsi" w:hAnsi="Times New Roman"/>
          <w:sz w:val="24"/>
          <w:szCs w:val="24"/>
        </w:rPr>
        <w:t xml:space="preserve">to examine </w:t>
      </w:r>
      <w:r w:rsidRPr="007E40FA">
        <w:rPr>
          <w:rFonts w:ascii="Times New Roman" w:eastAsiaTheme="minorHAnsi" w:hAnsi="Times New Roman"/>
          <w:sz w:val="24"/>
          <w:szCs w:val="24"/>
        </w:rPr>
        <w:t>user-defined protein</w:t>
      </w:r>
      <w:r w:rsidR="009D2E8B" w:rsidRPr="007E40FA">
        <w:rPr>
          <w:rFonts w:ascii="Times New Roman" w:eastAsiaTheme="minorHAnsi" w:hAnsi="Times New Roman"/>
          <w:sz w:val="24"/>
          <w:szCs w:val="24"/>
        </w:rPr>
        <w:t xml:space="preserve"> characteristics of captured CTCs</w:t>
      </w:r>
      <w:r w:rsidR="00257A1E" w:rsidRPr="007E40FA">
        <w:rPr>
          <w:rFonts w:ascii="Times New Roman" w:eastAsiaTheme="minorHAnsi" w:hAnsi="Times New Roman"/>
          <w:sz w:val="24"/>
          <w:szCs w:val="24"/>
        </w:rPr>
        <w:t xml:space="preserve"> and </w:t>
      </w:r>
      <w:r w:rsidRPr="007E40FA">
        <w:rPr>
          <w:rFonts w:ascii="Times New Roman" w:eastAsiaTheme="minorHAnsi" w:hAnsi="Times New Roman"/>
          <w:sz w:val="24"/>
          <w:szCs w:val="24"/>
        </w:rPr>
        <w:t xml:space="preserve">a comparable </w:t>
      </w:r>
      <w:r w:rsidR="002C3864" w:rsidRPr="007E40FA">
        <w:rPr>
          <w:rFonts w:ascii="Times New Roman" w:eastAsiaTheme="minorHAnsi" w:hAnsi="Times New Roman"/>
          <w:sz w:val="24"/>
          <w:szCs w:val="24"/>
        </w:rPr>
        <w:t xml:space="preserve">adapted </w:t>
      </w:r>
      <w:r w:rsidR="004C0272" w:rsidRPr="007E40FA">
        <w:rPr>
          <w:rFonts w:ascii="Times New Roman" w:eastAsiaTheme="minorHAnsi" w:hAnsi="Times New Roman"/>
          <w:sz w:val="24"/>
          <w:szCs w:val="24"/>
        </w:rPr>
        <w:t>CSS</w:t>
      </w:r>
      <w:r w:rsidR="002C3864" w:rsidRPr="007E40FA">
        <w:rPr>
          <w:rFonts w:ascii="Times New Roman" w:eastAsiaTheme="minorHAnsi" w:hAnsi="Times New Roman"/>
          <w:sz w:val="24"/>
          <w:szCs w:val="24"/>
        </w:rPr>
        <w:t xml:space="preserve"> technique that allows for the enrichment and detection of CTCs from small volumes of blood in</w:t>
      </w:r>
      <w:r w:rsidR="009D2E8B" w:rsidRPr="007E40FA">
        <w:rPr>
          <w:rFonts w:ascii="Times New Roman" w:eastAsiaTheme="minorHAnsi" w:hAnsi="Times New Roman"/>
          <w:sz w:val="24"/>
          <w:szCs w:val="24"/>
        </w:rPr>
        <w:t xml:space="preserve"> pre-clinical mouse models of </w:t>
      </w:r>
      <w:r w:rsidR="00257A1E" w:rsidRPr="007E40FA">
        <w:rPr>
          <w:rFonts w:ascii="Times New Roman" w:eastAsiaTheme="minorHAnsi" w:hAnsi="Times New Roman"/>
          <w:sz w:val="24"/>
          <w:szCs w:val="24"/>
        </w:rPr>
        <w:t>metastasis</w:t>
      </w:r>
      <w:r w:rsidR="00DF5DE3" w:rsidRPr="007E40FA">
        <w:rPr>
          <w:rFonts w:ascii="Times New Roman" w:eastAsiaTheme="minorHAnsi" w:hAnsi="Times New Roman"/>
          <w:sz w:val="24"/>
          <w:szCs w:val="24"/>
        </w:rPr>
        <w:t xml:space="preserve"> </w:t>
      </w:r>
      <w:r w:rsidR="007F3854" w:rsidRPr="007E40FA">
        <w:rPr>
          <w:rFonts w:ascii="Times New Roman" w:eastAsiaTheme="minorHAnsi" w:hAnsi="Times New Roman"/>
          <w:sz w:val="24"/>
          <w:szCs w:val="24"/>
        </w:rPr>
        <w:t>are</w:t>
      </w:r>
      <w:r w:rsidR="00DF5DE3" w:rsidRPr="007E40FA">
        <w:rPr>
          <w:rFonts w:ascii="Times New Roman" w:eastAsiaTheme="minorHAnsi" w:hAnsi="Times New Roman"/>
          <w:sz w:val="24"/>
          <w:szCs w:val="24"/>
        </w:rPr>
        <w:t xml:space="preserve"> described</w:t>
      </w:r>
      <w:r w:rsidR="009D2E8B" w:rsidRPr="007E40FA">
        <w:rPr>
          <w:rFonts w:ascii="Times New Roman" w:eastAsiaTheme="minorHAnsi" w:hAnsi="Times New Roman"/>
          <w:sz w:val="24"/>
          <w:szCs w:val="24"/>
        </w:rPr>
        <w:t>.</w:t>
      </w:r>
      <w:r w:rsidR="00257A1E" w:rsidRPr="007E40FA">
        <w:rPr>
          <w:rFonts w:ascii="Times New Roman" w:eastAsiaTheme="minorHAnsi" w:hAnsi="Times New Roman"/>
          <w:sz w:val="24"/>
          <w:szCs w:val="24"/>
        </w:rPr>
        <w:t xml:space="preserve"> </w:t>
      </w:r>
    </w:p>
    <w:p w:rsidR="004B1B1C" w:rsidRPr="007E40FA" w:rsidRDefault="004B1B1C" w:rsidP="001F0875">
      <w:pPr>
        <w:jc w:val="both"/>
        <w:rPr>
          <w:rFonts w:ascii="Times New Roman" w:eastAsiaTheme="minorHAnsi" w:hAnsi="Times New Roman"/>
          <w:sz w:val="24"/>
          <w:szCs w:val="24"/>
        </w:rPr>
      </w:pPr>
      <w:r w:rsidRPr="007E40FA">
        <w:rPr>
          <w:rFonts w:ascii="Times New Roman" w:eastAsiaTheme="minorHAnsi" w:hAnsi="Times New Roman"/>
          <w:sz w:val="24"/>
          <w:szCs w:val="24"/>
        </w:rPr>
        <w:br w:type="page"/>
      </w:r>
    </w:p>
    <w:p w:rsidR="00180583" w:rsidRPr="007E40FA" w:rsidRDefault="00606B83" w:rsidP="0053484E">
      <w:pPr>
        <w:spacing w:after="0" w:line="240" w:lineRule="auto"/>
        <w:jc w:val="both"/>
        <w:rPr>
          <w:rFonts w:ascii="Times New Roman" w:eastAsiaTheme="minorHAnsi" w:hAnsi="Times New Roman"/>
          <w:b/>
          <w:sz w:val="24"/>
          <w:szCs w:val="24"/>
        </w:rPr>
      </w:pPr>
      <w:r w:rsidRPr="007E40FA">
        <w:rPr>
          <w:rFonts w:ascii="Times New Roman" w:eastAsiaTheme="minorHAnsi" w:hAnsi="Times New Roman"/>
          <w:b/>
          <w:sz w:val="24"/>
          <w:szCs w:val="24"/>
        </w:rPr>
        <w:lastRenderedPageBreak/>
        <w:t>PROTOCOL:</w:t>
      </w:r>
    </w:p>
    <w:p w:rsidR="00FC6428" w:rsidRPr="007E40FA" w:rsidRDefault="00FC6428" w:rsidP="0053484E">
      <w:pPr>
        <w:spacing w:after="0" w:line="240" w:lineRule="auto"/>
        <w:jc w:val="both"/>
        <w:rPr>
          <w:rFonts w:ascii="Times New Roman" w:eastAsiaTheme="minorHAnsi" w:hAnsi="Times New Roman"/>
          <w:sz w:val="24"/>
          <w:szCs w:val="24"/>
          <w:u w:val="single"/>
        </w:rPr>
      </w:pPr>
      <w:r w:rsidRPr="007E40FA">
        <w:rPr>
          <w:rFonts w:ascii="Times New Roman" w:hAnsi="Times New Roman"/>
          <w:sz w:val="24"/>
        </w:rPr>
        <w:t xml:space="preserve">All human studies described in this manuscript were carried out under protocols approved by Western University’s </w:t>
      </w:r>
      <w:r w:rsidR="007F3854" w:rsidRPr="007E40FA">
        <w:rPr>
          <w:rFonts w:ascii="Times New Roman" w:hAnsi="Times New Roman"/>
          <w:sz w:val="24"/>
        </w:rPr>
        <w:t xml:space="preserve">Human </w:t>
      </w:r>
      <w:r w:rsidRPr="007E40FA">
        <w:rPr>
          <w:rFonts w:ascii="Times New Roman" w:hAnsi="Times New Roman"/>
          <w:sz w:val="24"/>
        </w:rPr>
        <w:t>Research Ethics Board.</w:t>
      </w:r>
      <w:r w:rsidR="007F3854" w:rsidRPr="007E40FA">
        <w:rPr>
          <w:rFonts w:ascii="Times New Roman" w:hAnsi="Times New Roman"/>
          <w:sz w:val="24"/>
        </w:rPr>
        <w:t xml:space="preserve"> All </w:t>
      </w:r>
      <w:r w:rsidR="007F3854" w:rsidRPr="007E40FA">
        <w:rPr>
          <w:rFonts w:ascii="Times New Roman" w:hAnsi="Times New Roman"/>
          <w:sz w:val="24"/>
          <w:szCs w:val="24"/>
        </w:rPr>
        <w:t>Animal studies were conducted in accordance with the recommendations of the Canadian Council on Animal Care, under protocol</w:t>
      </w:r>
      <w:r w:rsidR="000C7822" w:rsidRPr="007E40FA">
        <w:rPr>
          <w:rFonts w:ascii="Times New Roman" w:hAnsi="Times New Roman"/>
          <w:sz w:val="24"/>
          <w:szCs w:val="24"/>
        </w:rPr>
        <w:t>s</w:t>
      </w:r>
      <w:r w:rsidR="007F3854" w:rsidRPr="007E40FA">
        <w:rPr>
          <w:rFonts w:ascii="Times New Roman" w:hAnsi="Times New Roman"/>
          <w:sz w:val="24"/>
          <w:szCs w:val="24"/>
        </w:rPr>
        <w:t xml:space="preserve"> approved by the Western University Animal Use Subcommittee.</w:t>
      </w:r>
    </w:p>
    <w:p w:rsidR="00FC6428" w:rsidRPr="007E40FA" w:rsidRDefault="00FC6428" w:rsidP="0053484E">
      <w:pPr>
        <w:spacing w:after="0" w:line="240" w:lineRule="auto"/>
        <w:jc w:val="both"/>
        <w:rPr>
          <w:rFonts w:ascii="Times New Roman" w:eastAsiaTheme="minorHAnsi" w:hAnsi="Times New Roman"/>
          <w:b/>
          <w:sz w:val="24"/>
          <w:szCs w:val="24"/>
          <w:u w:val="single"/>
        </w:rPr>
      </w:pPr>
    </w:p>
    <w:p w:rsidR="00606B83" w:rsidRPr="007E40FA" w:rsidRDefault="00FC1CA6" w:rsidP="0053484E">
      <w:pPr>
        <w:spacing w:after="0" w:line="240" w:lineRule="auto"/>
        <w:jc w:val="both"/>
        <w:rPr>
          <w:rFonts w:ascii="Times New Roman" w:eastAsiaTheme="minorHAnsi" w:hAnsi="Times New Roman"/>
          <w:b/>
          <w:sz w:val="24"/>
          <w:szCs w:val="24"/>
          <w:u w:val="single"/>
        </w:rPr>
      </w:pPr>
      <w:r w:rsidRPr="007E40FA">
        <w:rPr>
          <w:rFonts w:ascii="Times New Roman" w:eastAsiaTheme="minorHAnsi" w:hAnsi="Times New Roman"/>
          <w:b/>
          <w:sz w:val="24"/>
          <w:szCs w:val="24"/>
          <w:u w:val="single"/>
        </w:rPr>
        <w:t xml:space="preserve">Standard </w:t>
      </w:r>
      <w:r w:rsidR="00606B83" w:rsidRPr="007E40FA">
        <w:rPr>
          <w:rFonts w:ascii="Times New Roman" w:eastAsiaTheme="minorHAnsi" w:hAnsi="Times New Roman"/>
          <w:b/>
          <w:sz w:val="24"/>
          <w:szCs w:val="24"/>
          <w:u w:val="single"/>
        </w:rPr>
        <w:t xml:space="preserve">CTC Enumeration </w:t>
      </w:r>
      <w:r w:rsidRPr="007E40FA">
        <w:rPr>
          <w:rFonts w:ascii="Times New Roman" w:eastAsiaTheme="minorHAnsi" w:hAnsi="Times New Roman"/>
          <w:b/>
          <w:sz w:val="24"/>
          <w:szCs w:val="24"/>
          <w:u w:val="single"/>
        </w:rPr>
        <w:t xml:space="preserve">from Patient Blood Samples </w:t>
      </w:r>
      <w:r w:rsidR="00606B83" w:rsidRPr="007E40FA">
        <w:rPr>
          <w:rFonts w:ascii="Times New Roman" w:eastAsiaTheme="minorHAnsi" w:hAnsi="Times New Roman"/>
          <w:b/>
          <w:sz w:val="24"/>
          <w:szCs w:val="24"/>
          <w:u w:val="single"/>
        </w:rPr>
        <w:t xml:space="preserve">using the </w:t>
      </w:r>
      <w:r w:rsidR="004C0272" w:rsidRPr="007E40FA">
        <w:rPr>
          <w:rFonts w:ascii="Times New Roman" w:eastAsiaTheme="minorHAnsi" w:hAnsi="Times New Roman"/>
          <w:b/>
          <w:sz w:val="24"/>
          <w:szCs w:val="24"/>
          <w:u w:val="single"/>
        </w:rPr>
        <w:t>CSS</w:t>
      </w:r>
    </w:p>
    <w:p w:rsidR="00606B83" w:rsidRPr="007E40FA" w:rsidRDefault="00606B83" w:rsidP="0053484E">
      <w:pPr>
        <w:spacing w:after="0" w:line="240" w:lineRule="auto"/>
        <w:jc w:val="both"/>
        <w:rPr>
          <w:rFonts w:ascii="Times New Roman" w:eastAsiaTheme="minorHAnsi" w:hAnsi="Times New Roman"/>
          <w:sz w:val="24"/>
          <w:szCs w:val="24"/>
          <w:u w:val="single"/>
        </w:rPr>
      </w:pPr>
    </w:p>
    <w:p w:rsidR="004E34F9" w:rsidRPr="00E429F0" w:rsidRDefault="004B1B1C" w:rsidP="0053484E">
      <w:pPr>
        <w:pStyle w:val="ListParagraph"/>
        <w:numPr>
          <w:ilvl w:val="0"/>
          <w:numId w:val="4"/>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 xml:space="preserve">Human </w:t>
      </w:r>
      <w:r w:rsidR="00606B83" w:rsidRPr="007E40FA">
        <w:rPr>
          <w:rFonts w:ascii="Times New Roman" w:eastAsiaTheme="minorHAnsi" w:hAnsi="Times New Roman"/>
          <w:b/>
          <w:sz w:val="24"/>
          <w:szCs w:val="24"/>
        </w:rPr>
        <w:t>Blood Sample Collection</w:t>
      </w:r>
      <w:r w:rsidR="00FC1CA6" w:rsidRPr="007E40FA">
        <w:rPr>
          <w:rFonts w:ascii="Times New Roman" w:eastAsiaTheme="minorHAnsi" w:hAnsi="Times New Roman"/>
          <w:b/>
          <w:sz w:val="24"/>
          <w:szCs w:val="24"/>
        </w:rPr>
        <w:t xml:space="preserve"> and </w:t>
      </w:r>
      <w:r w:rsidR="00606B83" w:rsidRPr="007E40FA">
        <w:rPr>
          <w:rFonts w:ascii="Times New Roman" w:eastAsiaTheme="minorHAnsi" w:hAnsi="Times New Roman"/>
          <w:b/>
          <w:sz w:val="24"/>
          <w:szCs w:val="24"/>
        </w:rPr>
        <w:t xml:space="preserve">Preparation for Processing on the </w:t>
      </w:r>
      <w:r w:rsidR="004C0272" w:rsidRPr="007E40FA">
        <w:rPr>
          <w:rFonts w:ascii="Times New Roman" w:eastAsiaTheme="minorHAnsi" w:hAnsi="Times New Roman"/>
          <w:b/>
          <w:sz w:val="24"/>
          <w:szCs w:val="24"/>
        </w:rPr>
        <w:t>Preparation Instrument</w:t>
      </w:r>
    </w:p>
    <w:p w:rsidR="004E34F9" w:rsidRPr="007E40FA" w:rsidRDefault="004E34F9"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Using </w:t>
      </w:r>
      <w:r w:rsidR="007B17E2" w:rsidRPr="007E40FA">
        <w:rPr>
          <w:rFonts w:ascii="Times New Roman" w:eastAsiaTheme="minorHAnsi" w:hAnsi="Times New Roman"/>
          <w:sz w:val="24"/>
          <w:szCs w:val="24"/>
        </w:rPr>
        <w:t xml:space="preserve">standard aseptic </w:t>
      </w:r>
      <w:r w:rsidR="004B1B1C" w:rsidRPr="007E40FA">
        <w:rPr>
          <w:rFonts w:ascii="Times New Roman" w:eastAsiaTheme="minorHAnsi" w:hAnsi="Times New Roman"/>
          <w:sz w:val="24"/>
          <w:szCs w:val="24"/>
        </w:rPr>
        <w:t xml:space="preserve">phlebotomy </w:t>
      </w:r>
      <w:r w:rsidR="007B17E2" w:rsidRPr="007E40FA">
        <w:rPr>
          <w:rFonts w:ascii="Times New Roman" w:eastAsiaTheme="minorHAnsi" w:hAnsi="Times New Roman"/>
          <w:sz w:val="24"/>
          <w:szCs w:val="24"/>
        </w:rPr>
        <w:t>technique</w:t>
      </w:r>
      <w:r w:rsidR="004B1B1C" w:rsidRPr="007E40FA">
        <w:rPr>
          <w:rFonts w:ascii="Times New Roman" w:eastAsiaTheme="minorHAnsi" w:hAnsi="Times New Roman"/>
          <w:sz w:val="24"/>
          <w:szCs w:val="24"/>
        </w:rPr>
        <w:t>s</w:t>
      </w:r>
      <w:r w:rsidR="004244FF" w:rsidRPr="007E40FA">
        <w:rPr>
          <w:rFonts w:ascii="Times New Roman" w:eastAsiaTheme="minorHAnsi" w:hAnsi="Times New Roman"/>
          <w:sz w:val="24"/>
          <w:szCs w:val="24"/>
        </w:rPr>
        <w:t>,</w:t>
      </w:r>
      <w:r w:rsidRPr="007E40FA">
        <w:rPr>
          <w:rFonts w:ascii="Times New Roman" w:eastAsiaTheme="minorHAnsi" w:hAnsi="Times New Roman"/>
          <w:sz w:val="24"/>
          <w:szCs w:val="24"/>
        </w:rPr>
        <w:t xml:space="preserve"> draw a minimum of 8.0 ml of </w:t>
      </w:r>
      <w:r w:rsidR="004B1B1C" w:rsidRPr="007E40FA">
        <w:rPr>
          <w:rFonts w:ascii="Times New Roman" w:eastAsiaTheme="minorHAnsi" w:hAnsi="Times New Roman"/>
          <w:sz w:val="24"/>
          <w:szCs w:val="24"/>
        </w:rPr>
        <w:t xml:space="preserve">human </w:t>
      </w:r>
      <w:r w:rsidRPr="007E40FA">
        <w:rPr>
          <w:rFonts w:ascii="Times New Roman" w:eastAsiaTheme="minorHAnsi" w:hAnsi="Times New Roman"/>
          <w:sz w:val="24"/>
          <w:szCs w:val="24"/>
        </w:rPr>
        <w:t xml:space="preserve">blood into a 10 ml </w:t>
      </w:r>
      <w:proofErr w:type="spellStart"/>
      <w:r w:rsidRPr="007E40FA">
        <w:rPr>
          <w:rFonts w:ascii="Times New Roman" w:eastAsiaTheme="minorHAnsi" w:hAnsi="Times New Roman"/>
          <w:sz w:val="24"/>
          <w:szCs w:val="24"/>
        </w:rPr>
        <w:t>CellSave</w:t>
      </w:r>
      <w:proofErr w:type="spellEnd"/>
      <w:r w:rsidRPr="007E40FA">
        <w:rPr>
          <w:rFonts w:ascii="Times New Roman" w:eastAsiaTheme="minorHAnsi" w:hAnsi="Times New Roman"/>
          <w:sz w:val="24"/>
          <w:szCs w:val="24"/>
        </w:rPr>
        <w:t xml:space="preserve"> tube</w:t>
      </w:r>
      <w:r w:rsidR="00F131F9" w:rsidRPr="007E40FA">
        <w:rPr>
          <w:rFonts w:ascii="Times New Roman" w:eastAsiaTheme="minorHAnsi" w:hAnsi="Times New Roman"/>
          <w:sz w:val="24"/>
          <w:szCs w:val="24"/>
        </w:rPr>
        <w:t xml:space="preserve"> (hereafter referred to as the </w:t>
      </w:r>
      <w:r w:rsidR="00210B3A" w:rsidRPr="007E40FA">
        <w:rPr>
          <w:rFonts w:ascii="Times New Roman" w:eastAsiaTheme="minorHAnsi" w:hAnsi="Times New Roman"/>
          <w:sz w:val="24"/>
          <w:szCs w:val="24"/>
        </w:rPr>
        <w:t xml:space="preserve">CTC </w:t>
      </w:r>
      <w:r w:rsidR="00F131F9" w:rsidRPr="007E40FA">
        <w:rPr>
          <w:rFonts w:ascii="Times New Roman" w:eastAsiaTheme="minorHAnsi" w:hAnsi="Times New Roman"/>
          <w:sz w:val="24"/>
          <w:szCs w:val="24"/>
        </w:rPr>
        <w:t>preservative tube)</w:t>
      </w:r>
      <w:r w:rsidRPr="007E40FA">
        <w:rPr>
          <w:rFonts w:ascii="Times New Roman" w:eastAsiaTheme="minorHAnsi" w:hAnsi="Times New Roman"/>
          <w:sz w:val="24"/>
          <w:szCs w:val="24"/>
        </w:rPr>
        <w:t xml:space="preserve">, </w:t>
      </w:r>
      <w:r w:rsidR="004B1B1C" w:rsidRPr="007E40FA">
        <w:rPr>
          <w:rFonts w:ascii="Times New Roman" w:eastAsiaTheme="minorHAnsi" w:hAnsi="Times New Roman"/>
          <w:sz w:val="24"/>
          <w:szCs w:val="24"/>
        </w:rPr>
        <w:t xml:space="preserve">which </w:t>
      </w:r>
      <w:r w:rsidRPr="007E40FA">
        <w:rPr>
          <w:rFonts w:ascii="Times New Roman" w:eastAsiaTheme="minorHAnsi" w:hAnsi="Times New Roman"/>
          <w:sz w:val="24"/>
          <w:szCs w:val="24"/>
        </w:rPr>
        <w:t>contain</w:t>
      </w:r>
      <w:r w:rsidR="004B1B1C" w:rsidRPr="007E40FA">
        <w:rPr>
          <w:rFonts w:ascii="Times New Roman" w:eastAsiaTheme="minorHAnsi" w:hAnsi="Times New Roman"/>
          <w:sz w:val="24"/>
          <w:szCs w:val="24"/>
        </w:rPr>
        <w:t>s</w:t>
      </w:r>
      <w:r w:rsidRPr="007E40FA">
        <w:rPr>
          <w:rFonts w:ascii="Times New Roman" w:eastAsiaTheme="minorHAnsi" w:hAnsi="Times New Roman"/>
          <w:sz w:val="24"/>
          <w:szCs w:val="24"/>
        </w:rPr>
        <w:t xml:space="preserve"> </w:t>
      </w:r>
      <w:proofErr w:type="spellStart"/>
      <w:r w:rsidR="00210B3A" w:rsidRPr="007E40FA">
        <w:rPr>
          <w:rFonts w:ascii="Times New Roman" w:hAnsi="Times New Roman"/>
          <w:bCs/>
          <w:sz w:val="24"/>
          <w:szCs w:val="24"/>
          <w:shd w:val="clear" w:color="auto" w:fill="FFFFFF"/>
        </w:rPr>
        <w:t>e</w:t>
      </w:r>
      <w:r w:rsidRPr="007E40FA">
        <w:rPr>
          <w:rFonts w:ascii="Times New Roman" w:hAnsi="Times New Roman"/>
          <w:bCs/>
          <w:sz w:val="24"/>
          <w:szCs w:val="24"/>
          <w:shd w:val="clear" w:color="auto" w:fill="FFFFFF"/>
        </w:rPr>
        <w:t>thylenediaminetetraacetic</w:t>
      </w:r>
      <w:proofErr w:type="spellEnd"/>
      <w:r w:rsidRPr="007E40FA">
        <w:rPr>
          <w:rFonts w:ascii="Times New Roman" w:hAnsi="Times New Roman"/>
          <w:bCs/>
          <w:sz w:val="24"/>
          <w:szCs w:val="24"/>
          <w:shd w:val="clear" w:color="auto" w:fill="FFFFFF"/>
        </w:rPr>
        <w:t xml:space="preserve"> acid</w:t>
      </w:r>
      <w:r w:rsidRPr="007E40FA">
        <w:rPr>
          <w:rFonts w:ascii="Times New Roman" w:eastAsiaTheme="minorHAnsi" w:hAnsi="Times New Roman"/>
          <w:sz w:val="24"/>
          <w:szCs w:val="24"/>
        </w:rPr>
        <w:t xml:space="preserve"> (EDTA) and a proprietary cellular preservative. Invert the tube 5 times to prevent blood from clotting. </w:t>
      </w:r>
      <w:r w:rsidR="007B17E2" w:rsidRPr="007E40FA">
        <w:rPr>
          <w:rFonts w:ascii="Times New Roman" w:eastAsiaTheme="minorHAnsi" w:hAnsi="Times New Roman"/>
          <w:sz w:val="24"/>
          <w:szCs w:val="24"/>
        </w:rPr>
        <w:t>S</w:t>
      </w:r>
      <w:r w:rsidRPr="007E40FA">
        <w:rPr>
          <w:rFonts w:ascii="Times New Roman" w:eastAsiaTheme="minorHAnsi" w:hAnsi="Times New Roman"/>
          <w:sz w:val="24"/>
          <w:szCs w:val="24"/>
        </w:rPr>
        <w:t>ample</w:t>
      </w:r>
      <w:r w:rsidR="007B17E2" w:rsidRPr="007E40FA">
        <w:rPr>
          <w:rFonts w:ascii="Times New Roman" w:eastAsiaTheme="minorHAnsi" w:hAnsi="Times New Roman"/>
          <w:sz w:val="24"/>
          <w:szCs w:val="24"/>
        </w:rPr>
        <w:t>s</w:t>
      </w:r>
      <w:r w:rsidRPr="007E40FA">
        <w:rPr>
          <w:rFonts w:ascii="Times New Roman" w:eastAsiaTheme="minorHAnsi" w:hAnsi="Times New Roman"/>
          <w:sz w:val="24"/>
          <w:szCs w:val="24"/>
        </w:rPr>
        <w:t xml:space="preserve"> may be p</w:t>
      </w:r>
      <w:r w:rsidR="002D4866" w:rsidRPr="007E40FA">
        <w:rPr>
          <w:rFonts w:ascii="Times New Roman" w:eastAsiaTheme="minorHAnsi" w:hAnsi="Times New Roman"/>
          <w:sz w:val="24"/>
          <w:szCs w:val="24"/>
        </w:rPr>
        <w:t xml:space="preserve">rocessed immediately or </w:t>
      </w:r>
      <w:r w:rsidRPr="007E40FA">
        <w:rPr>
          <w:rFonts w:ascii="Times New Roman" w:eastAsiaTheme="minorHAnsi" w:hAnsi="Times New Roman"/>
          <w:sz w:val="24"/>
          <w:szCs w:val="24"/>
        </w:rPr>
        <w:t xml:space="preserve">stored at room temperature for up to 96 hours. </w:t>
      </w:r>
    </w:p>
    <w:p w:rsidR="004E34F9" w:rsidRPr="007E40FA" w:rsidRDefault="004E34F9" w:rsidP="0053484E">
      <w:pPr>
        <w:pStyle w:val="ListParagraph"/>
        <w:spacing w:after="0" w:line="240" w:lineRule="auto"/>
        <w:ind w:left="0"/>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 </w:t>
      </w:r>
    </w:p>
    <w:p w:rsidR="004E34F9" w:rsidRPr="007E40FA" w:rsidRDefault="004B1B1C"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Remove </w:t>
      </w:r>
      <w:r w:rsidR="004C0272" w:rsidRPr="007E40FA">
        <w:rPr>
          <w:rFonts w:ascii="Times New Roman" w:eastAsiaTheme="minorHAnsi" w:hAnsi="Times New Roman"/>
          <w:sz w:val="24"/>
          <w:szCs w:val="24"/>
        </w:rPr>
        <w:t>CSS</w:t>
      </w:r>
      <w:r w:rsidR="002D4866" w:rsidRPr="007E40FA">
        <w:rPr>
          <w:rFonts w:ascii="Times New Roman" w:eastAsiaTheme="minorHAnsi" w:hAnsi="Times New Roman"/>
          <w:sz w:val="24"/>
          <w:szCs w:val="24"/>
        </w:rPr>
        <w:t xml:space="preserve"> </w:t>
      </w:r>
      <w:r w:rsidR="004E34F9" w:rsidRPr="007E40FA">
        <w:rPr>
          <w:rFonts w:ascii="Times New Roman" w:eastAsiaTheme="minorHAnsi" w:hAnsi="Times New Roman"/>
          <w:sz w:val="24"/>
          <w:szCs w:val="24"/>
        </w:rPr>
        <w:t>reagents</w:t>
      </w:r>
      <w:r w:rsidRPr="007E40FA">
        <w:rPr>
          <w:rFonts w:ascii="Times New Roman" w:eastAsiaTheme="minorHAnsi" w:hAnsi="Times New Roman"/>
          <w:sz w:val="24"/>
          <w:szCs w:val="24"/>
        </w:rPr>
        <w:t xml:space="preserve"> from the fridge and allow</w:t>
      </w:r>
      <w:r w:rsidR="007B17E2"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 xml:space="preserve">them </w:t>
      </w:r>
      <w:r w:rsidR="007B17E2" w:rsidRPr="007E40FA">
        <w:rPr>
          <w:rFonts w:ascii="Times New Roman" w:eastAsiaTheme="minorHAnsi" w:hAnsi="Times New Roman"/>
          <w:sz w:val="24"/>
          <w:szCs w:val="24"/>
        </w:rPr>
        <w:t>to warm</w:t>
      </w:r>
      <w:r w:rsidR="004E34F9" w:rsidRPr="007E40FA">
        <w:rPr>
          <w:rFonts w:ascii="Times New Roman" w:eastAsiaTheme="minorHAnsi" w:hAnsi="Times New Roman"/>
          <w:sz w:val="24"/>
          <w:szCs w:val="24"/>
        </w:rPr>
        <w:t xml:space="preserve"> to room temperature before using.</w:t>
      </w:r>
    </w:p>
    <w:p w:rsidR="004E34F9" w:rsidRPr="007E40FA" w:rsidRDefault="004E34F9" w:rsidP="0053484E">
      <w:pPr>
        <w:pStyle w:val="ListParagraph"/>
        <w:spacing w:after="0" w:line="240" w:lineRule="auto"/>
        <w:ind w:left="0"/>
        <w:jc w:val="both"/>
        <w:rPr>
          <w:rFonts w:ascii="Times New Roman" w:eastAsiaTheme="minorHAnsi" w:hAnsi="Times New Roman"/>
          <w:sz w:val="24"/>
          <w:szCs w:val="24"/>
        </w:rPr>
      </w:pPr>
    </w:p>
    <w:p w:rsidR="004E34F9" w:rsidRPr="007E40FA" w:rsidRDefault="004B1B1C"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Using a disposable 10 ml pipette and automated </w:t>
      </w:r>
      <w:proofErr w:type="spellStart"/>
      <w:proofErr w:type="gramStart"/>
      <w:r w:rsidRPr="007E40FA">
        <w:rPr>
          <w:rFonts w:ascii="Times New Roman" w:eastAsiaTheme="minorHAnsi" w:hAnsi="Times New Roman"/>
          <w:sz w:val="24"/>
          <w:szCs w:val="24"/>
          <w:highlight w:val="yellow"/>
        </w:rPr>
        <w:t>pipettor</w:t>
      </w:r>
      <w:proofErr w:type="spellEnd"/>
      <w:r w:rsidRPr="007E40FA">
        <w:rPr>
          <w:rFonts w:ascii="Times New Roman" w:eastAsiaTheme="minorHAnsi" w:hAnsi="Times New Roman"/>
          <w:sz w:val="24"/>
          <w:szCs w:val="24"/>
          <w:highlight w:val="yellow"/>
        </w:rPr>
        <w:t>,</w:t>
      </w:r>
      <w:proofErr w:type="gramEnd"/>
      <w:r w:rsidRPr="007E40FA">
        <w:rPr>
          <w:rFonts w:ascii="Times New Roman" w:eastAsiaTheme="minorHAnsi" w:hAnsi="Times New Roman"/>
          <w:sz w:val="24"/>
          <w:szCs w:val="24"/>
          <w:highlight w:val="yellow"/>
        </w:rPr>
        <w:t xml:space="preserve"> </w:t>
      </w:r>
      <w:r w:rsidR="00AD6C70" w:rsidRPr="007E40FA">
        <w:rPr>
          <w:rFonts w:ascii="Times New Roman" w:eastAsiaTheme="minorHAnsi" w:hAnsi="Times New Roman"/>
          <w:sz w:val="24"/>
          <w:szCs w:val="24"/>
          <w:highlight w:val="yellow"/>
        </w:rPr>
        <w:t>collect</w:t>
      </w:r>
      <w:r w:rsidR="004E34F9" w:rsidRPr="007E40FA">
        <w:rPr>
          <w:rFonts w:ascii="Times New Roman" w:eastAsiaTheme="minorHAnsi" w:hAnsi="Times New Roman"/>
          <w:sz w:val="24"/>
          <w:szCs w:val="24"/>
          <w:highlight w:val="yellow"/>
        </w:rPr>
        <w:t xml:space="preserve"> 7.5 ml of blood from the </w:t>
      </w:r>
      <w:r w:rsidR="00210B3A" w:rsidRPr="007E40FA">
        <w:rPr>
          <w:rFonts w:ascii="Times New Roman" w:eastAsiaTheme="minorHAnsi" w:hAnsi="Times New Roman"/>
          <w:sz w:val="24"/>
          <w:szCs w:val="24"/>
          <w:highlight w:val="yellow"/>
        </w:rPr>
        <w:t xml:space="preserve">CTC </w:t>
      </w:r>
      <w:r w:rsidR="004E34F9" w:rsidRPr="007E40FA">
        <w:rPr>
          <w:rFonts w:ascii="Times New Roman" w:eastAsiaTheme="minorHAnsi" w:hAnsi="Times New Roman"/>
          <w:sz w:val="24"/>
          <w:szCs w:val="24"/>
          <w:highlight w:val="yellow"/>
        </w:rPr>
        <w:t>preservative tube and slowly di</w:t>
      </w:r>
      <w:r w:rsidR="007B17E2" w:rsidRPr="007E40FA">
        <w:rPr>
          <w:rFonts w:ascii="Times New Roman" w:eastAsiaTheme="minorHAnsi" w:hAnsi="Times New Roman"/>
          <w:sz w:val="24"/>
          <w:szCs w:val="24"/>
          <w:highlight w:val="yellow"/>
        </w:rPr>
        <w:t>spense blood into an</w:t>
      </w:r>
      <w:r w:rsidR="004E34F9" w:rsidRPr="007E40FA">
        <w:rPr>
          <w:rFonts w:ascii="Times New Roman" w:eastAsiaTheme="minorHAnsi" w:hAnsi="Times New Roman"/>
          <w:sz w:val="24"/>
          <w:szCs w:val="24"/>
          <w:highlight w:val="yellow"/>
        </w:rPr>
        <w:t xml:space="preserve"> appropriate</w:t>
      </w:r>
      <w:r w:rsidR="007B17E2" w:rsidRPr="007E40FA">
        <w:rPr>
          <w:rFonts w:ascii="Times New Roman" w:eastAsiaTheme="minorHAnsi" w:hAnsi="Times New Roman"/>
          <w:sz w:val="24"/>
          <w:szCs w:val="24"/>
          <w:highlight w:val="yellow"/>
        </w:rPr>
        <w:t>ly labelled</w:t>
      </w:r>
      <w:r w:rsidR="004E34F9" w:rsidRPr="007E40FA">
        <w:rPr>
          <w:rFonts w:ascii="Times New Roman" w:eastAsiaTheme="minorHAnsi" w:hAnsi="Times New Roman"/>
          <w:sz w:val="24"/>
          <w:szCs w:val="24"/>
          <w:highlight w:val="yellow"/>
        </w:rPr>
        <w:t xml:space="preserve"> </w:t>
      </w:r>
      <w:r w:rsidR="004C0272" w:rsidRPr="007E40FA">
        <w:rPr>
          <w:rFonts w:ascii="Times New Roman" w:eastAsiaTheme="minorHAnsi" w:hAnsi="Times New Roman"/>
          <w:sz w:val="24"/>
          <w:szCs w:val="24"/>
          <w:highlight w:val="yellow"/>
        </w:rPr>
        <w:t>preparation instrument</w:t>
      </w:r>
      <w:r w:rsidR="004E34F9" w:rsidRPr="007E40FA">
        <w:rPr>
          <w:rFonts w:ascii="Times New Roman" w:eastAsiaTheme="minorHAnsi" w:hAnsi="Times New Roman"/>
          <w:sz w:val="24"/>
          <w:szCs w:val="24"/>
          <w:highlight w:val="yellow"/>
        </w:rPr>
        <w:t xml:space="preserve"> processing tube.</w:t>
      </w:r>
      <w:r w:rsidR="004E34F9" w:rsidRPr="007E40FA">
        <w:rPr>
          <w:rFonts w:ascii="Times New Roman" w:eastAsiaTheme="minorHAnsi" w:hAnsi="Times New Roman"/>
          <w:sz w:val="24"/>
          <w:szCs w:val="24"/>
        </w:rPr>
        <w:t xml:space="preserve"> </w:t>
      </w:r>
    </w:p>
    <w:p w:rsidR="004E34F9" w:rsidRPr="007E40FA" w:rsidRDefault="004E34F9" w:rsidP="0053484E">
      <w:pPr>
        <w:pStyle w:val="ListParagraph"/>
        <w:spacing w:after="0" w:line="240" w:lineRule="auto"/>
        <w:ind w:left="0"/>
        <w:jc w:val="both"/>
        <w:rPr>
          <w:rFonts w:ascii="Times New Roman" w:eastAsiaTheme="minorHAnsi" w:hAnsi="Times New Roman"/>
          <w:sz w:val="24"/>
          <w:szCs w:val="24"/>
        </w:rPr>
      </w:pPr>
    </w:p>
    <w:p w:rsidR="00FB75F9" w:rsidRPr="00BD4EF3" w:rsidRDefault="004E34F9"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Add 6.5 ml of </w:t>
      </w:r>
      <w:r w:rsidR="007B17E2" w:rsidRPr="007E40FA">
        <w:rPr>
          <w:rFonts w:ascii="Times New Roman" w:eastAsiaTheme="minorHAnsi" w:hAnsi="Times New Roman"/>
          <w:sz w:val="24"/>
          <w:szCs w:val="24"/>
          <w:highlight w:val="yellow"/>
        </w:rPr>
        <w:t>dilution buffer to each sample. Mix by inverting sample 5 times.</w:t>
      </w:r>
      <w:r w:rsidR="00637B50" w:rsidRPr="007E40FA">
        <w:rPr>
          <w:rFonts w:ascii="Times New Roman" w:eastAsiaTheme="minorHAnsi" w:hAnsi="Times New Roman"/>
          <w:sz w:val="24"/>
          <w:szCs w:val="24"/>
          <w:highlight w:val="yellow"/>
        </w:rPr>
        <w:t xml:space="preserve"> </w:t>
      </w:r>
      <w:r w:rsidR="007B17E2" w:rsidRPr="007E40FA">
        <w:rPr>
          <w:rFonts w:ascii="Times New Roman" w:eastAsiaTheme="minorHAnsi" w:hAnsi="Times New Roman"/>
          <w:sz w:val="24"/>
          <w:szCs w:val="24"/>
          <w:highlight w:val="yellow"/>
        </w:rPr>
        <w:t>Centrifuge sample at 800 x g for 10 min with the br</w:t>
      </w:r>
      <w:r w:rsidR="00AD6C70" w:rsidRPr="007E40FA">
        <w:rPr>
          <w:rFonts w:ascii="Times New Roman" w:eastAsiaTheme="minorHAnsi" w:hAnsi="Times New Roman"/>
          <w:sz w:val="24"/>
          <w:szCs w:val="24"/>
          <w:highlight w:val="yellow"/>
        </w:rPr>
        <w:t>ake</w:t>
      </w:r>
      <w:r w:rsidR="007B17E2" w:rsidRPr="007E40FA">
        <w:rPr>
          <w:rFonts w:ascii="Times New Roman" w:eastAsiaTheme="minorHAnsi" w:hAnsi="Times New Roman"/>
          <w:sz w:val="24"/>
          <w:szCs w:val="24"/>
          <w:highlight w:val="yellow"/>
        </w:rPr>
        <w:t xml:space="preserve"> in the </w:t>
      </w:r>
      <w:r w:rsidR="00AD6C70" w:rsidRPr="007E40FA">
        <w:rPr>
          <w:rFonts w:ascii="Times New Roman" w:eastAsiaTheme="minorHAnsi" w:hAnsi="Times New Roman"/>
          <w:sz w:val="24"/>
          <w:szCs w:val="24"/>
          <w:highlight w:val="yellow"/>
        </w:rPr>
        <w:t>“</w:t>
      </w:r>
      <w:r w:rsidR="007B17E2" w:rsidRPr="007E40FA">
        <w:rPr>
          <w:rFonts w:ascii="Times New Roman" w:eastAsiaTheme="minorHAnsi" w:hAnsi="Times New Roman"/>
          <w:sz w:val="24"/>
          <w:szCs w:val="24"/>
          <w:highlight w:val="yellow"/>
        </w:rPr>
        <w:t>off</w:t>
      </w:r>
      <w:r w:rsidR="00AD6C70" w:rsidRPr="007E40FA">
        <w:rPr>
          <w:rFonts w:ascii="Times New Roman" w:eastAsiaTheme="minorHAnsi" w:hAnsi="Times New Roman"/>
          <w:sz w:val="24"/>
          <w:szCs w:val="24"/>
          <w:highlight w:val="yellow"/>
        </w:rPr>
        <w:t>”</w:t>
      </w:r>
      <w:r w:rsidR="007B17E2" w:rsidRPr="007E40FA">
        <w:rPr>
          <w:rFonts w:ascii="Times New Roman" w:eastAsiaTheme="minorHAnsi" w:hAnsi="Times New Roman"/>
          <w:sz w:val="24"/>
          <w:szCs w:val="24"/>
          <w:highlight w:val="yellow"/>
        </w:rPr>
        <w:t xml:space="preserve"> </w:t>
      </w:r>
      <w:r w:rsidR="007B17E2" w:rsidRPr="0053484E">
        <w:rPr>
          <w:rFonts w:ascii="Times New Roman" w:eastAsiaTheme="minorHAnsi" w:hAnsi="Times New Roman"/>
          <w:sz w:val="24"/>
          <w:szCs w:val="24"/>
          <w:highlight w:val="yellow"/>
        </w:rPr>
        <w:t xml:space="preserve">position. </w:t>
      </w:r>
      <w:r w:rsidR="00AC3BF4" w:rsidRPr="00BD4EF3">
        <w:rPr>
          <w:rFonts w:ascii="Times New Roman" w:eastAsiaTheme="minorHAnsi" w:hAnsi="Times New Roman"/>
          <w:sz w:val="24"/>
          <w:szCs w:val="24"/>
        </w:rPr>
        <w:t xml:space="preserve">Follow the on-screen instructions </w:t>
      </w:r>
      <w:r w:rsidR="00F131F9" w:rsidRPr="00BD4EF3">
        <w:rPr>
          <w:rFonts w:ascii="Times New Roman" w:eastAsiaTheme="minorHAnsi" w:hAnsi="Times New Roman"/>
          <w:sz w:val="24"/>
          <w:szCs w:val="24"/>
        </w:rPr>
        <w:t xml:space="preserve">on the preparation instrument </w:t>
      </w:r>
      <w:r w:rsidR="00AC3BF4" w:rsidRPr="00BD4EF3">
        <w:rPr>
          <w:rFonts w:ascii="Times New Roman" w:eastAsiaTheme="minorHAnsi" w:hAnsi="Times New Roman"/>
          <w:sz w:val="24"/>
          <w:szCs w:val="24"/>
        </w:rPr>
        <w:t>to load all patient samples onto the system for processing.</w:t>
      </w:r>
      <w:r w:rsidR="006975D9" w:rsidRPr="00BD4EF3">
        <w:rPr>
          <w:rFonts w:ascii="Times New Roman" w:eastAsiaTheme="minorHAnsi" w:hAnsi="Times New Roman"/>
          <w:sz w:val="24"/>
          <w:szCs w:val="24"/>
        </w:rPr>
        <w:t xml:space="preserve"> Samples must be processed within 1 hour of preparation.</w:t>
      </w:r>
    </w:p>
    <w:p w:rsidR="00FB75F9" w:rsidRPr="007E40FA" w:rsidRDefault="00FB75F9" w:rsidP="0053484E">
      <w:pPr>
        <w:pStyle w:val="ListParagraph"/>
        <w:spacing w:after="0" w:line="240" w:lineRule="auto"/>
        <w:ind w:left="0"/>
        <w:jc w:val="both"/>
        <w:rPr>
          <w:rFonts w:ascii="Times New Roman" w:eastAsiaTheme="minorHAnsi" w:hAnsi="Times New Roman"/>
          <w:sz w:val="24"/>
          <w:szCs w:val="24"/>
        </w:rPr>
      </w:pPr>
    </w:p>
    <w:p w:rsidR="00AC3BF4" w:rsidRPr="00E429F0" w:rsidRDefault="00AC3BF4" w:rsidP="0053484E">
      <w:pPr>
        <w:pStyle w:val="ListParagraph"/>
        <w:numPr>
          <w:ilvl w:val="0"/>
          <w:numId w:val="4"/>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 xml:space="preserve">Control Preparation for Processing on the </w:t>
      </w:r>
      <w:r w:rsidR="004C0272" w:rsidRPr="007E40FA">
        <w:rPr>
          <w:rFonts w:ascii="Times New Roman" w:eastAsiaTheme="minorHAnsi" w:hAnsi="Times New Roman"/>
          <w:b/>
          <w:sz w:val="24"/>
          <w:szCs w:val="24"/>
        </w:rPr>
        <w:t>Preparation Instrument</w:t>
      </w:r>
    </w:p>
    <w:p w:rsidR="00AC3BF4" w:rsidRPr="007E40FA" w:rsidRDefault="00AC3BF4"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Gently vortex the control vial and invert 5 times to mix.</w:t>
      </w:r>
    </w:p>
    <w:p w:rsidR="00AC3BF4" w:rsidRPr="007E40FA" w:rsidRDefault="00AC3BF4" w:rsidP="0053484E">
      <w:pPr>
        <w:pStyle w:val="ListParagraph"/>
        <w:spacing w:after="0" w:line="240" w:lineRule="auto"/>
        <w:ind w:left="0"/>
        <w:jc w:val="both"/>
        <w:rPr>
          <w:rFonts w:ascii="Times New Roman" w:eastAsiaTheme="minorHAnsi" w:hAnsi="Times New Roman"/>
          <w:sz w:val="24"/>
          <w:szCs w:val="24"/>
        </w:rPr>
      </w:pPr>
    </w:p>
    <w:p w:rsidR="00517ADF" w:rsidRPr="007E40FA" w:rsidRDefault="00AC3BF4"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Carefully remove the cap from the control vial </w:t>
      </w:r>
      <w:r w:rsidR="00517ADF" w:rsidRPr="007E40FA">
        <w:rPr>
          <w:rFonts w:ascii="Times New Roman" w:eastAsiaTheme="minorHAnsi" w:hAnsi="Times New Roman"/>
          <w:sz w:val="24"/>
          <w:szCs w:val="24"/>
          <w:highlight w:val="yellow"/>
        </w:rPr>
        <w:t xml:space="preserve">and place an inverted </w:t>
      </w:r>
      <w:r w:rsidR="004C0272" w:rsidRPr="007E40FA">
        <w:rPr>
          <w:rFonts w:ascii="Times New Roman" w:eastAsiaTheme="minorHAnsi" w:hAnsi="Times New Roman"/>
          <w:sz w:val="24"/>
          <w:szCs w:val="24"/>
          <w:highlight w:val="yellow"/>
        </w:rPr>
        <w:t>preparation instrument</w:t>
      </w:r>
      <w:r w:rsidR="00517ADF" w:rsidRPr="007E40FA">
        <w:rPr>
          <w:rFonts w:ascii="Times New Roman" w:eastAsiaTheme="minorHAnsi" w:hAnsi="Times New Roman"/>
          <w:sz w:val="24"/>
          <w:szCs w:val="24"/>
          <w:highlight w:val="yellow"/>
        </w:rPr>
        <w:t xml:space="preserve"> processing tube </w:t>
      </w:r>
      <w:r w:rsidR="004244FF" w:rsidRPr="007E40FA">
        <w:rPr>
          <w:rFonts w:ascii="Times New Roman" w:eastAsiaTheme="minorHAnsi" w:hAnsi="Times New Roman"/>
          <w:sz w:val="24"/>
          <w:szCs w:val="24"/>
          <w:highlight w:val="yellow"/>
        </w:rPr>
        <w:t>on top</w:t>
      </w:r>
      <w:r w:rsidR="00517ADF" w:rsidRPr="007E40FA">
        <w:rPr>
          <w:rFonts w:ascii="Times New Roman" w:eastAsiaTheme="minorHAnsi" w:hAnsi="Times New Roman"/>
          <w:sz w:val="24"/>
          <w:szCs w:val="24"/>
          <w:highlight w:val="yellow"/>
        </w:rPr>
        <w:t xml:space="preserve"> of the</w:t>
      </w:r>
      <w:r w:rsidR="00FC1CA6" w:rsidRPr="007E40FA">
        <w:rPr>
          <w:rFonts w:ascii="Times New Roman" w:eastAsiaTheme="minorHAnsi" w:hAnsi="Times New Roman"/>
          <w:sz w:val="24"/>
          <w:szCs w:val="24"/>
          <w:highlight w:val="yellow"/>
        </w:rPr>
        <w:t xml:space="preserve"> uncapped </w:t>
      </w:r>
      <w:r w:rsidR="00517ADF" w:rsidRPr="007E40FA">
        <w:rPr>
          <w:rFonts w:ascii="Times New Roman" w:eastAsiaTheme="minorHAnsi" w:hAnsi="Times New Roman"/>
          <w:sz w:val="24"/>
          <w:szCs w:val="24"/>
          <w:highlight w:val="yellow"/>
        </w:rPr>
        <w:t xml:space="preserve">vial. In one swift motion, invert the control vial, and pour the contents into the processing tube. While inverted, gently flick the </w:t>
      </w:r>
      <w:r w:rsidR="00FC1CA6" w:rsidRPr="007E40FA">
        <w:rPr>
          <w:rFonts w:ascii="Times New Roman" w:eastAsiaTheme="minorHAnsi" w:hAnsi="Times New Roman"/>
          <w:sz w:val="24"/>
          <w:szCs w:val="24"/>
          <w:highlight w:val="yellow"/>
        </w:rPr>
        <w:t>sides</w:t>
      </w:r>
      <w:r w:rsidR="00517ADF" w:rsidRPr="007E40FA">
        <w:rPr>
          <w:rFonts w:ascii="Times New Roman" w:eastAsiaTheme="minorHAnsi" w:hAnsi="Times New Roman"/>
          <w:sz w:val="24"/>
          <w:szCs w:val="24"/>
          <w:highlight w:val="yellow"/>
        </w:rPr>
        <w:t xml:space="preserve"> of the control vial to release any remaining contents.</w:t>
      </w:r>
      <w:r w:rsidR="00517ADF" w:rsidRPr="007E40FA">
        <w:rPr>
          <w:rFonts w:ascii="Times New Roman" w:eastAsiaTheme="minorHAnsi" w:hAnsi="Times New Roman"/>
          <w:sz w:val="24"/>
          <w:szCs w:val="24"/>
        </w:rPr>
        <w:t xml:space="preserve"> </w:t>
      </w:r>
    </w:p>
    <w:p w:rsidR="00517ADF" w:rsidRPr="007E40FA" w:rsidRDefault="00517ADF" w:rsidP="0053484E">
      <w:pPr>
        <w:pStyle w:val="ListParagraph"/>
        <w:spacing w:after="0" w:line="240" w:lineRule="auto"/>
        <w:ind w:left="0"/>
        <w:jc w:val="both"/>
        <w:rPr>
          <w:rFonts w:ascii="Times New Roman" w:eastAsiaTheme="minorHAnsi" w:hAnsi="Times New Roman"/>
          <w:sz w:val="24"/>
          <w:szCs w:val="24"/>
        </w:rPr>
      </w:pPr>
    </w:p>
    <w:p w:rsidR="00517ADF" w:rsidRPr="007E40FA" w:rsidRDefault="00517ADF"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Carefully remove the inverted control vial from the processing tube, ensuring that no liquid is lost and place aside.</w:t>
      </w:r>
      <w:r w:rsidR="00637B50" w:rsidRPr="007E40FA">
        <w:rPr>
          <w:rFonts w:ascii="Times New Roman" w:eastAsiaTheme="minorHAnsi" w:hAnsi="Times New Roman"/>
          <w:sz w:val="24"/>
          <w:szCs w:val="24"/>
          <w:highlight w:val="yellow"/>
        </w:rPr>
        <w:t xml:space="preserve"> </w:t>
      </w:r>
      <w:r w:rsidR="004244FF" w:rsidRPr="007E40FA">
        <w:rPr>
          <w:rFonts w:ascii="Times New Roman" w:eastAsiaTheme="minorHAnsi" w:hAnsi="Times New Roman"/>
          <w:sz w:val="24"/>
          <w:szCs w:val="24"/>
          <w:highlight w:val="yellow"/>
        </w:rPr>
        <w:t>Using a 1</w:t>
      </w:r>
      <w:r w:rsidR="000C7419" w:rsidRPr="007E40FA">
        <w:rPr>
          <w:rFonts w:ascii="Times New Roman" w:eastAsiaTheme="minorHAnsi" w:hAnsi="Times New Roman"/>
          <w:sz w:val="24"/>
          <w:szCs w:val="24"/>
          <w:highlight w:val="yellow"/>
        </w:rPr>
        <w:t>,</w:t>
      </w:r>
      <w:r w:rsidR="004244FF" w:rsidRPr="007E40FA">
        <w:rPr>
          <w:rFonts w:ascii="Times New Roman" w:eastAsiaTheme="minorHAnsi" w:hAnsi="Times New Roman"/>
          <w:sz w:val="24"/>
          <w:szCs w:val="24"/>
          <w:highlight w:val="yellow"/>
        </w:rPr>
        <w:t>000</w:t>
      </w:r>
      <w:r w:rsidR="00036BF0"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µl pipette</w:t>
      </w:r>
      <w:r w:rsidR="004244FF" w:rsidRPr="007E40FA">
        <w:rPr>
          <w:rFonts w:ascii="Times New Roman" w:eastAsiaTheme="minorHAnsi" w:hAnsi="Times New Roman"/>
          <w:sz w:val="24"/>
          <w:szCs w:val="24"/>
          <w:highlight w:val="yellow"/>
        </w:rPr>
        <w:t>,</w:t>
      </w:r>
      <w:r w:rsidRPr="007E40FA">
        <w:rPr>
          <w:rFonts w:ascii="Times New Roman" w:eastAsiaTheme="minorHAnsi" w:hAnsi="Times New Roman"/>
          <w:sz w:val="24"/>
          <w:szCs w:val="24"/>
          <w:highlight w:val="yellow"/>
        </w:rPr>
        <w:t xml:space="preserve"> collect any remaining contents from the vial and lid and gently pipette into the processing tube.</w:t>
      </w:r>
    </w:p>
    <w:p w:rsidR="006975D9" w:rsidRPr="007E40FA" w:rsidRDefault="006975D9" w:rsidP="0053484E">
      <w:pPr>
        <w:pStyle w:val="ListParagraph"/>
        <w:spacing w:after="0" w:line="240" w:lineRule="auto"/>
        <w:ind w:left="0"/>
        <w:jc w:val="both"/>
        <w:rPr>
          <w:rFonts w:ascii="Times New Roman" w:eastAsiaTheme="minorHAnsi" w:hAnsi="Times New Roman"/>
          <w:sz w:val="24"/>
          <w:szCs w:val="24"/>
        </w:rPr>
      </w:pPr>
    </w:p>
    <w:p w:rsidR="006B0E63" w:rsidRPr="007E40FA" w:rsidRDefault="006975D9"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Follow the on-screen instructions </w:t>
      </w:r>
      <w:r w:rsidR="00F131F9" w:rsidRPr="007E40FA">
        <w:rPr>
          <w:rFonts w:ascii="Times New Roman" w:eastAsiaTheme="minorHAnsi" w:hAnsi="Times New Roman"/>
          <w:sz w:val="24"/>
          <w:szCs w:val="24"/>
        </w:rPr>
        <w:t xml:space="preserve">on the preparation instrument </w:t>
      </w:r>
      <w:r w:rsidRPr="007E40FA">
        <w:rPr>
          <w:rFonts w:ascii="Times New Roman" w:eastAsiaTheme="minorHAnsi" w:hAnsi="Times New Roman"/>
          <w:sz w:val="24"/>
          <w:szCs w:val="24"/>
        </w:rPr>
        <w:t>to load the control onto the</w:t>
      </w:r>
      <w:r w:rsidR="00AD6C70"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system for processing.</w:t>
      </w:r>
    </w:p>
    <w:p w:rsidR="006B0E63" w:rsidRPr="007E40FA" w:rsidRDefault="006B0E63" w:rsidP="0053484E">
      <w:pPr>
        <w:pStyle w:val="ListParagraph"/>
        <w:spacing w:after="0" w:line="240" w:lineRule="auto"/>
        <w:ind w:left="0"/>
        <w:jc w:val="both"/>
        <w:rPr>
          <w:rFonts w:ascii="Times New Roman" w:eastAsiaTheme="minorHAnsi" w:hAnsi="Times New Roman"/>
          <w:sz w:val="24"/>
          <w:szCs w:val="24"/>
        </w:rPr>
      </w:pPr>
    </w:p>
    <w:p w:rsidR="006F6BBE" w:rsidRPr="00E429F0" w:rsidRDefault="006F6BBE" w:rsidP="0053484E">
      <w:pPr>
        <w:pStyle w:val="ListParagraph"/>
        <w:numPr>
          <w:ilvl w:val="0"/>
          <w:numId w:val="4"/>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 xml:space="preserve">Sample Scanning on the </w:t>
      </w:r>
      <w:r w:rsidR="00F131F9" w:rsidRPr="007E40FA">
        <w:rPr>
          <w:rFonts w:ascii="Times New Roman" w:eastAsiaTheme="minorHAnsi" w:hAnsi="Times New Roman"/>
          <w:b/>
          <w:sz w:val="24"/>
          <w:szCs w:val="24"/>
        </w:rPr>
        <w:t>Analysis Instrument</w:t>
      </w:r>
    </w:p>
    <w:p w:rsidR="006F6BBE" w:rsidRPr="007E40FA" w:rsidRDefault="00FC1CA6"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Follow the on-screen instructions</w:t>
      </w:r>
      <w:r w:rsidR="00F131F9" w:rsidRPr="007E40FA">
        <w:rPr>
          <w:rFonts w:ascii="Times New Roman" w:eastAsiaTheme="minorHAnsi" w:hAnsi="Times New Roman"/>
          <w:sz w:val="24"/>
          <w:szCs w:val="24"/>
          <w:highlight w:val="yellow"/>
        </w:rPr>
        <w:t xml:space="preserve"> on the preparation instrument</w:t>
      </w:r>
      <w:r w:rsidRPr="007E40FA">
        <w:rPr>
          <w:rFonts w:ascii="Times New Roman" w:eastAsiaTheme="minorHAnsi" w:hAnsi="Times New Roman"/>
          <w:sz w:val="24"/>
          <w:szCs w:val="24"/>
          <w:highlight w:val="yellow"/>
        </w:rPr>
        <w:t xml:space="preserve"> to u</w:t>
      </w:r>
      <w:r w:rsidR="006F6BBE" w:rsidRPr="007E40FA">
        <w:rPr>
          <w:rFonts w:ascii="Times New Roman" w:eastAsiaTheme="minorHAnsi" w:hAnsi="Times New Roman"/>
          <w:sz w:val="24"/>
          <w:szCs w:val="24"/>
          <w:highlight w:val="yellow"/>
        </w:rPr>
        <w:t xml:space="preserve">nload all samples from the </w:t>
      </w:r>
      <w:r w:rsidR="004244FF" w:rsidRPr="007E40FA">
        <w:rPr>
          <w:rFonts w:ascii="Times New Roman" w:eastAsiaTheme="minorHAnsi" w:hAnsi="Times New Roman"/>
          <w:sz w:val="24"/>
          <w:szCs w:val="24"/>
          <w:highlight w:val="yellow"/>
        </w:rPr>
        <w:t>system</w:t>
      </w:r>
      <w:r w:rsidR="00637B50" w:rsidRPr="007E40FA">
        <w:rPr>
          <w:rFonts w:ascii="Times New Roman" w:eastAsiaTheme="minorHAnsi" w:hAnsi="Times New Roman"/>
          <w:sz w:val="24"/>
          <w:szCs w:val="24"/>
          <w:highlight w:val="yellow"/>
        </w:rPr>
        <w:t xml:space="preserve">. </w:t>
      </w:r>
      <w:r w:rsidR="006F6BBE" w:rsidRPr="007E40FA">
        <w:rPr>
          <w:rFonts w:ascii="Times New Roman" w:eastAsiaTheme="minorHAnsi" w:hAnsi="Times New Roman"/>
          <w:sz w:val="24"/>
          <w:szCs w:val="24"/>
          <w:highlight w:val="yellow"/>
        </w:rPr>
        <w:t xml:space="preserve">Loosely cap </w:t>
      </w:r>
      <w:r w:rsidR="004244FF" w:rsidRPr="007E40FA">
        <w:rPr>
          <w:rFonts w:ascii="Times New Roman" w:eastAsiaTheme="minorHAnsi" w:hAnsi="Times New Roman"/>
          <w:sz w:val="24"/>
          <w:szCs w:val="24"/>
          <w:highlight w:val="yellow"/>
        </w:rPr>
        <w:t xml:space="preserve">each </w:t>
      </w:r>
      <w:r w:rsidR="00F131F9" w:rsidRPr="007E40FA">
        <w:rPr>
          <w:rFonts w:ascii="Times New Roman" w:eastAsiaTheme="minorHAnsi" w:hAnsi="Times New Roman"/>
          <w:sz w:val="24"/>
          <w:szCs w:val="24"/>
          <w:highlight w:val="yellow"/>
        </w:rPr>
        <w:t xml:space="preserve">magnetic device </w:t>
      </w:r>
      <w:r w:rsidR="004244FF" w:rsidRPr="007E40FA">
        <w:rPr>
          <w:rFonts w:ascii="Times New Roman" w:eastAsiaTheme="minorHAnsi" w:hAnsi="Times New Roman"/>
          <w:sz w:val="24"/>
          <w:szCs w:val="24"/>
          <w:highlight w:val="yellow"/>
        </w:rPr>
        <w:t>ca</w:t>
      </w:r>
      <w:r w:rsidR="006F6BBE" w:rsidRPr="007E40FA">
        <w:rPr>
          <w:rFonts w:ascii="Times New Roman" w:eastAsiaTheme="minorHAnsi" w:hAnsi="Times New Roman"/>
          <w:sz w:val="24"/>
          <w:szCs w:val="24"/>
          <w:highlight w:val="yellow"/>
        </w:rPr>
        <w:t>rtridge and t</w:t>
      </w:r>
      <w:r w:rsidR="004244FF" w:rsidRPr="007E40FA">
        <w:rPr>
          <w:rFonts w:ascii="Times New Roman" w:eastAsiaTheme="minorHAnsi" w:hAnsi="Times New Roman"/>
          <w:sz w:val="24"/>
          <w:szCs w:val="24"/>
          <w:highlight w:val="yellow"/>
        </w:rPr>
        <w:t>ap</w:t>
      </w:r>
      <w:r w:rsidRPr="007E40FA">
        <w:rPr>
          <w:rFonts w:ascii="Times New Roman" w:eastAsiaTheme="minorHAnsi" w:hAnsi="Times New Roman"/>
          <w:sz w:val="24"/>
          <w:szCs w:val="24"/>
          <w:highlight w:val="yellow"/>
        </w:rPr>
        <w:t xml:space="preserve"> the</w:t>
      </w:r>
      <w:r w:rsidR="004244FF" w:rsidRPr="007E40FA">
        <w:rPr>
          <w:rFonts w:ascii="Times New Roman" w:eastAsiaTheme="minorHAnsi" w:hAnsi="Times New Roman"/>
          <w:sz w:val="24"/>
          <w:szCs w:val="24"/>
          <w:highlight w:val="yellow"/>
        </w:rPr>
        <w:t xml:space="preserve"> </w:t>
      </w:r>
      <w:r w:rsidR="00F131F9" w:rsidRPr="007E40FA">
        <w:rPr>
          <w:rFonts w:ascii="Times New Roman" w:eastAsiaTheme="minorHAnsi" w:hAnsi="Times New Roman"/>
          <w:sz w:val="24"/>
          <w:szCs w:val="24"/>
          <w:highlight w:val="yellow"/>
        </w:rPr>
        <w:t xml:space="preserve">magnetic </w:t>
      </w:r>
      <w:r w:rsidR="004244FF" w:rsidRPr="007E40FA">
        <w:rPr>
          <w:rFonts w:ascii="Times New Roman" w:eastAsiaTheme="minorHAnsi" w:hAnsi="Times New Roman"/>
          <w:sz w:val="24"/>
          <w:szCs w:val="24"/>
          <w:highlight w:val="yellow"/>
        </w:rPr>
        <w:t xml:space="preserve">device using </w:t>
      </w:r>
      <w:r w:rsidR="004244FF" w:rsidRPr="007E40FA">
        <w:rPr>
          <w:rFonts w:ascii="Times New Roman" w:eastAsiaTheme="minorHAnsi" w:hAnsi="Times New Roman"/>
          <w:sz w:val="24"/>
          <w:szCs w:val="24"/>
          <w:highlight w:val="yellow"/>
        </w:rPr>
        <w:lastRenderedPageBreak/>
        <w:t>hands or</w:t>
      </w:r>
      <w:r w:rsidR="006F6BBE" w:rsidRPr="007E40FA">
        <w:rPr>
          <w:rFonts w:ascii="Times New Roman" w:eastAsiaTheme="minorHAnsi" w:hAnsi="Times New Roman"/>
          <w:sz w:val="24"/>
          <w:szCs w:val="24"/>
          <w:highlight w:val="yellow"/>
        </w:rPr>
        <w:t xml:space="preserve"> lab bench to release any bubbles that are stuck to the edges of the cartridge.</w:t>
      </w:r>
      <w:r w:rsidR="00637B50" w:rsidRPr="007E40FA">
        <w:rPr>
          <w:rFonts w:ascii="Times New Roman" w:eastAsiaTheme="minorHAnsi" w:hAnsi="Times New Roman"/>
          <w:sz w:val="24"/>
          <w:szCs w:val="24"/>
          <w:highlight w:val="yellow"/>
        </w:rPr>
        <w:t xml:space="preserve"> </w:t>
      </w:r>
      <w:r w:rsidR="006F6BBE" w:rsidRPr="007E40FA">
        <w:rPr>
          <w:rFonts w:ascii="Times New Roman" w:eastAsiaTheme="minorHAnsi" w:hAnsi="Times New Roman"/>
          <w:sz w:val="24"/>
          <w:szCs w:val="24"/>
          <w:highlight w:val="yellow"/>
        </w:rPr>
        <w:t xml:space="preserve">Once all the bubbles have been removed, firmly cap </w:t>
      </w:r>
      <w:r w:rsidRPr="007E40FA">
        <w:rPr>
          <w:rFonts w:ascii="Times New Roman" w:eastAsiaTheme="minorHAnsi" w:hAnsi="Times New Roman"/>
          <w:sz w:val="24"/>
          <w:szCs w:val="24"/>
          <w:highlight w:val="yellow"/>
        </w:rPr>
        <w:t xml:space="preserve">the </w:t>
      </w:r>
      <w:r w:rsidR="006F6BBE" w:rsidRPr="007E40FA">
        <w:rPr>
          <w:rFonts w:ascii="Times New Roman" w:eastAsiaTheme="minorHAnsi" w:hAnsi="Times New Roman"/>
          <w:sz w:val="24"/>
          <w:szCs w:val="24"/>
          <w:highlight w:val="yellow"/>
        </w:rPr>
        <w:t xml:space="preserve">cartridge, lay </w:t>
      </w:r>
      <w:r w:rsidRPr="007E40FA">
        <w:rPr>
          <w:rFonts w:ascii="Times New Roman" w:eastAsiaTheme="minorHAnsi" w:hAnsi="Times New Roman"/>
          <w:sz w:val="24"/>
          <w:szCs w:val="24"/>
          <w:highlight w:val="yellow"/>
        </w:rPr>
        <w:t xml:space="preserve">the </w:t>
      </w:r>
      <w:r w:rsidR="00F131F9" w:rsidRPr="007E40FA">
        <w:rPr>
          <w:rFonts w:ascii="Times New Roman" w:eastAsiaTheme="minorHAnsi" w:hAnsi="Times New Roman"/>
          <w:sz w:val="24"/>
          <w:szCs w:val="24"/>
          <w:highlight w:val="yellow"/>
        </w:rPr>
        <w:t xml:space="preserve">magnetic </w:t>
      </w:r>
      <w:r w:rsidR="006F6BBE" w:rsidRPr="007E40FA">
        <w:rPr>
          <w:rFonts w:ascii="Times New Roman" w:eastAsiaTheme="minorHAnsi" w:hAnsi="Times New Roman"/>
          <w:sz w:val="24"/>
          <w:szCs w:val="24"/>
          <w:highlight w:val="yellow"/>
        </w:rPr>
        <w:t xml:space="preserve">device flat, and incubate in the dark for </w:t>
      </w:r>
      <w:r w:rsidR="004244FF" w:rsidRPr="007E40FA">
        <w:rPr>
          <w:rFonts w:ascii="Times New Roman" w:eastAsiaTheme="minorHAnsi" w:hAnsi="Times New Roman"/>
          <w:sz w:val="24"/>
          <w:szCs w:val="24"/>
          <w:highlight w:val="yellow"/>
        </w:rPr>
        <w:t>a</w:t>
      </w:r>
      <w:r w:rsidRPr="007E40FA">
        <w:rPr>
          <w:rFonts w:ascii="Times New Roman" w:eastAsiaTheme="minorHAnsi" w:hAnsi="Times New Roman"/>
          <w:sz w:val="24"/>
          <w:szCs w:val="24"/>
          <w:highlight w:val="yellow"/>
        </w:rPr>
        <w:t>t</w:t>
      </w:r>
      <w:r w:rsidR="004244FF"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least</w:t>
      </w:r>
      <w:r w:rsidR="006F6BBE" w:rsidRPr="007E40FA">
        <w:rPr>
          <w:rFonts w:ascii="Times New Roman" w:eastAsiaTheme="minorHAnsi" w:hAnsi="Times New Roman"/>
          <w:sz w:val="24"/>
          <w:szCs w:val="24"/>
          <w:highlight w:val="yellow"/>
        </w:rPr>
        <w:t xml:space="preserve"> 20 minutes.</w:t>
      </w:r>
      <w:r w:rsidR="004244FF" w:rsidRPr="007E40FA">
        <w:rPr>
          <w:rFonts w:ascii="Times New Roman" w:eastAsiaTheme="minorHAnsi" w:hAnsi="Times New Roman"/>
          <w:sz w:val="24"/>
          <w:szCs w:val="24"/>
        </w:rPr>
        <w:t xml:space="preserve"> Samples must be scanned within 24 hours of preparation.</w:t>
      </w:r>
    </w:p>
    <w:p w:rsidR="006F6BBE" w:rsidRPr="007E40FA" w:rsidRDefault="006F6BBE" w:rsidP="0053484E">
      <w:pPr>
        <w:pStyle w:val="ListParagraph"/>
        <w:spacing w:after="0" w:line="240" w:lineRule="auto"/>
        <w:ind w:left="0"/>
        <w:jc w:val="both"/>
        <w:rPr>
          <w:rFonts w:ascii="Times New Roman" w:eastAsiaTheme="minorHAnsi" w:hAnsi="Times New Roman"/>
          <w:sz w:val="24"/>
          <w:szCs w:val="24"/>
        </w:rPr>
      </w:pPr>
    </w:p>
    <w:p w:rsidR="006F6BBE" w:rsidRPr="007E40FA" w:rsidRDefault="004244FF"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Turn on </w:t>
      </w:r>
      <w:r w:rsidR="00F03D5A" w:rsidRPr="007E40FA">
        <w:rPr>
          <w:rFonts w:ascii="Times New Roman" w:eastAsiaTheme="minorHAnsi" w:hAnsi="Times New Roman"/>
          <w:sz w:val="24"/>
          <w:szCs w:val="24"/>
          <w:highlight w:val="yellow"/>
        </w:rPr>
        <w:t xml:space="preserve">the </w:t>
      </w:r>
      <w:r w:rsidR="00F131F9" w:rsidRPr="007E40FA">
        <w:rPr>
          <w:rFonts w:ascii="Times New Roman" w:eastAsiaTheme="minorHAnsi" w:hAnsi="Times New Roman"/>
          <w:sz w:val="24"/>
          <w:szCs w:val="24"/>
          <w:highlight w:val="yellow"/>
        </w:rPr>
        <w:t>analysis instrument</w:t>
      </w:r>
      <w:r w:rsidR="00F03D5A" w:rsidRPr="007E40FA">
        <w:rPr>
          <w:rFonts w:ascii="Times New Roman" w:eastAsiaTheme="minorHAnsi" w:hAnsi="Times New Roman"/>
          <w:sz w:val="24"/>
          <w:szCs w:val="24"/>
          <w:highlight w:val="yellow"/>
        </w:rPr>
        <w:t xml:space="preserve"> and initialize the lamp. Once warmed</w:t>
      </w:r>
      <w:r w:rsidR="006925ED" w:rsidRPr="007E40FA">
        <w:rPr>
          <w:rFonts w:ascii="Times New Roman" w:eastAsiaTheme="minorHAnsi" w:hAnsi="Times New Roman"/>
          <w:sz w:val="24"/>
          <w:szCs w:val="24"/>
          <w:highlight w:val="yellow"/>
        </w:rPr>
        <w:t xml:space="preserve"> (~ 15 minutes)</w:t>
      </w:r>
      <w:r w:rsidR="00F03D5A" w:rsidRPr="007E40FA">
        <w:rPr>
          <w:rFonts w:ascii="Times New Roman" w:eastAsiaTheme="minorHAnsi" w:hAnsi="Times New Roman"/>
          <w:sz w:val="24"/>
          <w:szCs w:val="24"/>
          <w:highlight w:val="yellow"/>
        </w:rPr>
        <w:t>, load the system verification cartridge on</w:t>
      </w:r>
      <w:r w:rsidR="00DF5DE3" w:rsidRPr="007E40FA">
        <w:rPr>
          <w:rFonts w:ascii="Times New Roman" w:eastAsiaTheme="minorHAnsi" w:hAnsi="Times New Roman"/>
          <w:sz w:val="24"/>
          <w:szCs w:val="24"/>
          <w:highlight w:val="yellow"/>
        </w:rPr>
        <w:t>to</w:t>
      </w:r>
      <w:r w:rsidR="00F03D5A" w:rsidRPr="007E40FA">
        <w:rPr>
          <w:rFonts w:ascii="Times New Roman" w:eastAsiaTheme="minorHAnsi" w:hAnsi="Times New Roman"/>
          <w:sz w:val="24"/>
          <w:szCs w:val="24"/>
          <w:highlight w:val="yellow"/>
        </w:rPr>
        <w:t xml:space="preserve"> the </w:t>
      </w:r>
      <w:r w:rsidR="00F131F9" w:rsidRPr="007E40FA">
        <w:rPr>
          <w:rFonts w:ascii="Times New Roman" w:eastAsiaTheme="minorHAnsi" w:hAnsi="Times New Roman"/>
          <w:sz w:val="24"/>
          <w:szCs w:val="24"/>
          <w:highlight w:val="yellow"/>
        </w:rPr>
        <w:t>analysis instrument</w:t>
      </w:r>
      <w:r w:rsidR="006B0E63" w:rsidRPr="007E40FA">
        <w:rPr>
          <w:rFonts w:ascii="Times New Roman" w:eastAsiaTheme="minorHAnsi" w:hAnsi="Times New Roman"/>
          <w:sz w:val="24"/>
          <w:szCs w:val="24"/>
          <w:highlight w:val="yellow"/>
        </w:rPr>
        <w:t xml:space="preserve"> and select the </w:t>
      </w:r>
      <w:r w:rsidR="006B0E63" w:rsidRPr="007E40FA">
        <w:rPr>
          <w:rFonts w:ascii="Times New Roman" w:eastAsiaTheme="minorHAnsi" w:hAnsi="Times New Roman"/>
          <w:i/>
          <w:sz w:val="24"/>
          <w:szCs w:val="24"/>
          <w:highlight w:val="yellow"/>
        </w:rPr>
        <w:t>QC Test</w:t>
      </w:r>
      <w:r w:rsidR="006B0E63" w:rsidRPr="007E40FA">
        <w:rPr>
          <w:rFonts w:ascii="Times New Roman" w:eastAsiaTheme="minorHAnsi" w:hAnsi="Times New Roman"/>
          <w:sz w:val="24"/>
          <w:szCs w:val="24"/>
          <w:highlight w:val="yellow"/>
        </w:rPr>
        <w:t xml:space="preserve"> tab. </w:t>
      </w:r>
      <w:r w:rsidR="006B0E63" w:rsidRPr="004F6ADB">
        <w:rPr>
          <w:rFonts w:ascii="Times New Roman" w:eastAsiaTheme="minorHAnsi" w:hAnsi="Times New Roman"/>
          <w:sz w:val="24"/>
          <w:szCs w:val="24"/>
        </w:rPr>
        <w:t>F</w:t>
      </w:r>
      <w:r w:rsidR="00FC1CA6" w:rsidRPr="004F6ADB">
        <w:rPr>
          <w:rFonts w:ascii="Times New Roman" w:eastAsiaTheme="minorHAnsi" w:hAnsi="Times New Roman"/>
          <w:sz w:val="24"/>
          <w:szCs w:val="24"/>
        </w:rPr>
        <w:t xml:space="preserve">ollow the on-screen instructions to </w:t>
      </w:r>
      <w:r w:rsidR="00F03D5A" w:rsidRPr="004F6ADB">
        <w:rPr>
          <w:rFonts w:ascii="Times New Roman" w:eastAsiaTheme="minorHAnsi" w:hAnsi="Times New Roman"/>
          <w:sz w:val="24"/>
          <w:szCs w:val="24"/>
        </w:rPr>
        <w:t xml:space="preserve">perform </w:t>
      </w:r>
      <w:r w:rsidR="006B0E63" w:rsidRPr="004F6ADB">
        <w:rPr>
          <w:rFonts w:ascii="Times New Roman" w:eastAsiaTheme="minorHAnsi" w:hAnsi="Times New Roman"/>
          <w:sz w:val="24"/>
          <w:szCs w:val="24"/>
        </w:rPr>
        <w:t>the necessary quality control measures</w:t>
      </w:r>
      <w:r w:rsidR="00F03D5A" w:rsidRPr="004F6ADB">
        <w:rPr>
          <w:rFonts w:ascii="Times New Roman" w:eastAsiaTheme="minorHAnsi" w:hAnsi="Times New Roman"/>
          <w:sz w:val="24"/>
          <w:szCs w:val="24"/>
        </w:rPr>
        <w:t>.</w:t>
      </w:r>
      <w:r w:rsidR="00F03D5A" w:rsidRPr="007E40FA">
        <w:rPr>
          <w:rFonts w:ascii="Times New Roman" w:eastAsiaTheme="minorHAnsi" w:hAnsi="Times New Roman"/>
          <w:sz w:val="24"/>
          <w:szCs w:val="24"/>
        </w:rPr>
        <w:t xml:space="preserve"> </w:t>
      </w:r>
    </w:p>
    <w:p w:rsidR="008907C6" w:rsidRPr="007E40FA" w:rsidRDefault="008907C6" w:rsidP="0053484E">
      <w:pPr>
        <w:pStyle w:val="ListParagraph"/>
        <w:spacing w:after="0" w:line="240" w:lineRule="auto"/>
        <w:ind w:left="0"/>
        <w:jc w:val="both"/>
        <w:rPr>
          <w:rFonts w:ascii="Times New Roman" w:eastAsiaTheme="minorHAnsi" w:hAnsi="Times New Roman"/>
          <w:sz w:val="24"/>
          <w:szCs w:val="24"/>
        </w:rPr>
      </w:pPr>
    </w:p>
    <w:p w:rsidR="008907C6" w:rsidRPr="007E40FA" w:rsidRDefault="008907C6"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Load </w:t>
      </w:r>
      <w:r w:rsidR="006B0E63" w:rsidRPr="007E40FA">
        <w:rPr>
          <w:rFonts w:ascii="Times New Roman" w:eastAsiaTheme="minorHAnsi" w:hAnsi="Times New Roman"/>
          <w:sz w:val="24"/>
          <w:szCs w:val="24"/>
          <w:highlight w:val="yellow"/>
        </w:rPr>
        <w:t xml:space="preserve">a </w:t>
      </w:r>
      <w:r w:rsidRPr="007E40FA">
        <w:rPr>
          <w:rFonts w:ascii="Times New Roman" w:eastAsiaTheme="minorHAnsi" w:hAnsi="Times New Roman"/>
          <w:sz w:val="24"/>
          <w:szCs w:val="24"/>
          <w:highlight w:val="yellow"/>
        </w:rPr>
        <w:t xml:space="preserve">sample onto the </w:t>
      </w:r>
      <w:r w:rsidR="00F131F9" w:rsidRPr="007E40FA">
        <w:rPr>
          <w:rFonts w:ascii="Times New Roman" w:eastAsiaTheme="minorHAnsi" w:hAnsi="Times New Roman"/>
          <w:sz w:val="24"/>
          <w:szCs w:val="24"/>
          <w:highlight w:val="yellow"/>
        </w:rPr>
        <w:t>analysis instrument</w:t>
      </w:r>
      <w:r w:rsidRPr="007E40FA">
        <w:rPr>
          <w:rFonts w:ascii="Times New Roman" w:eastAsiaTheme="minorHAnsi" w:hAnsi="Times New Roman"/>
          <w:sz w:val="24"/>
          <w:szCs w:val="24"/>
          <w:highlight w:val="yellow"/>
        </w:rPr>
        <w:t xml:space="preserve"> and select the </w:t>
      </w:r>
      <w:r w:rsidRPr="007E40FA">
        <w:rPr>
          <w:rFonts w:ascii="Times New Roman" w:eastAsiaTheme="minorHAnsi" w:hAnsi="Times New Roman"/>
          <w:i/>
          <w:sz w:val="24"/>
          <w:szCs w:val="24"/>
          <w:highlight w:val="yellow"/>
        </w:rPr>
        <w:t>Patient Test</w:t>
      </w:r>
      <w:r w:rsidRPr="007E40FA">
        <w:rPr>
          <w:rFonts w:ascii="Times New Roman" w:eastAsiaTheme="minorHAnsi" w:hAnsi="Times New Roman"/>
          <w:sz w:val="24"/>
          <w:szCs w:val="24"/>
          <w:highlight w:val="yellow"/>
        </w:rPr>
        <w:t xml:space="preserve"> tab. </w:t>
      </w:r>
      <w:r w:rsidRPr="007E40FA">
        <w:rPr>
          <w:rFonts w:ascii="Times New Roman" w:eastAsiaTheme="minorHAnsi" w:hAnsi="Times New Roman"/>
          <w:sz w:val="24"/>
          <w:szCs w:val="24"/>
        </w:rPr>
        <w:t xml:space="preserve">All saved information from the </w:t>
      </w:r>
      <w:r w:rsidR="00F131F9" w:rsidRPr="007E40FA">
        <w:rPr>
          <w:rFonts w:ascii="Times New Roman" w:eastAsiaTheme="minorHAnsi" w:hAnsi="Times New Roman"/>
          <w:sz w:val="24"/>
          <w:szCs w:val="24"/>
        </w:rPr>
        <w:t>p</w:t>
      </w:r>
      <w:r w:rsidR="004C0272" w:rsidRPr="007E40FA">
        <w:rPr>
          <w:rFonts w:ascii="Times New Roman" w:eastAsiaTheme="minorHAnsi" w:hAnsi="Times New Roman"/>
          <w:sz w:val="24"/>
          <w:szCs w:val="24"/>
        </w:rPr>
        <w:t>reparation instrument</w:t>
      </w:r>
      <w:r w:rsidRPr="007E40FA">
        <w:rPr>
          <w:rFonts w:ascii="Times New Roman" w:eastAsiaTheme="minorHAnsi" w:hAnsi="Times New Roman"/>
          <w:sz w:val="24"/>
          <w:szCs w:val="24"/>
        </w:rPr>
        <w:t xml:space="preserve"> will be displayed. </w:t>
      </w:r>
      <w:r w:rsidRPr="007E40FA">
        <w:rPr>
          <w:rFonts w:ascii="Times New Roman" w:eastAsiaTheme="minorHAnsi" w:hAnsi="Times New Roman"/>
          <w:sz w:val="24"/>
          <w:szCs w:val="24"/>
          <w:highlight w:val="yellow"/>
        </w:rPr>
        <w:t xml:space="preserve">Click </w:t>
      </w:r>
      <w:r w:rsidRPr="007E40FA">
        <w:rPr>
          <w:rFonts w:ascii="Times New Roman" w:eastAsiaTheme="minorHAnsi" w:hAnsi="Times New Roman"/>
          <w:i/>
          <w:sz w:val="24"/>
          <w:szCs w:val="24"/>
          <w:highlight w:val="yellow"/>
        </w:rPr>
        <w:t>Start</w:t>
      </w:r>
      <w:r w:rsidRPr="007E40FA">
        <w:rPr>
          <w:rFonts w:ascii="Times New Roman" w:eastAsiaTheme="minorHAnsi" w:hAnsi="Times New Roman"/>
          <w:sz w:val="24"/>
          <w:szCs w:val="24"/>
          <w:highlight w:val="yellow"/>
        </w:rPr>
        <w:t xml:space="preserve"> to initialize sample scanning.</w:t>
      </w:r>
      <w:r w:rsidR="009F3ABD" w:rsidRPr="009F3ABD">
        <w:rPr>
          <w:rFonts w:ascii="Times New Roman" w:eastAsiaTheme="minorHAnsi" w:hAnsi="Times New Roman"/>
          <w:sz w:val="24"/>
          <w:szCs w:val="24"/>
        </w:rPr>
        <w:t xml:space="preserve"> </w:t>
      </w:r>
      <w:r w:rsidR="009F3ABD" w:rsidRPr="009F3ABD">
        <w:rPr>
          <w:rFonts w:ascii="Times New Roman" w:eastAsiaTheme="minorHAnsi" w:hAnsi="Times New Roman"/>
          <w:sz w:val="24"/>
          <w:szCs w:val="24"/>
        </w:rPr>
        <w:t>The system will perform a coarse focus and edge detection on the magnetic device cartridge.</w:t>
      </w:r>
    </w:p>
    <w:p w:rsidR="008907C6" w:rsidRPr="007E40FA" w:rsidRDefault="008907C6" w:rsidP="0053484E">
      <w:pPr>
        <w:pStyle w:val="ListParagraph"/>
        <w:spacing w:after="0" w:line="240" w:lineRule="auto"/>
        <w:ind w:left="0"/>
        <w:jc w:val="both"/>
        <w:rPr>
          <w:rFonts w:ascii="Times New Roman" w:eastAsiaTheme="minorHAnsi" w:hAnsi="Times New Roman"/>
          <w:sz w:val="24"/>
          <w:szCs w:val="24"/>
        </w:rPr>
      </w:pPr>
    </w:p>
    <w:p w:rsidR="008907C6" w:rsidRPr="009F3ABD" w:rsidRDefault="008907C6"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Adjust </w:t>
      </w:r>
      <w:r w:rsidR="006B0E63" w:rsidRPr="007E40FA">
        <w:rPr>
          <w:rFonts w:ascii="Times New Roman" w:eastAsiaTheme="minorHAnsi" w:hAnsi="Times New Roman"/>
          <w:sz w:val="24"/>
          <w:szCs w:val="24"/>
          <w:highlight w:val="yellow"/>
        </w:rPr>
        <w:t xml:space="preserve">all </w:t>
      </w:r>
      <w:r w:rsidRPr="007E40FA">
        <w:rPr>
          <w:rFonts w:ascii="Times New Roman" w:eastAsiaTheme="minorHAnsi" w:hAnsi="Times New Roman"/>
          <w:sz w:val="24"/>
          <w:szCs w:val="24"/>
          <w:highlight w:val="yellow"/>
        </w:rPr>
        <w:t xml:space="preserve">edges as necessary using the directional keys. Select </w:t>
      </w:r>
      <w:r w:rsidRPr="007E40FA">
        <w:rPr>
          <w:rFonts w:ascii="Times New Roman" w:eastAsiaTheme="minorHAnsi" w:hAnsi="Times New Roman"/>
          <w:i/>
          <w:sz w:val="24"/>
          <w:szCs w:val="24"/>
          <w:highlight w:val="yellow"/>
        </w:rPr>
        <w:t>Accept</w:t>
      </w:r>
      <w:r w:rsidRPr="007E40FA">
        <w:rPr>
          <w:rFonts w:ascii="Times New Roman" w:eastAsiaTheme="minorHAnsi" w:hAnsi="Times New Roman"/>
          <w:sz w:val="24"/>
          <w:szCs w:val="24"/>
          <w:highlight w:val="yellow"/>
        </w:rPr>
        <w:t xml:space="preserve">. </w:t>
      </w:r>
      <w:r w:rsidRPr="009F3ABD">
        <w:rPr>
          <w:rFonts w:ascii="Times New Roman" w:eastAsiaTheme="minorHAnsi" w:hAnsi="Times New Roman"/>
          <w:sz w:val="24"/>
          <w:szCs w:val="24"/>
        </w:rPr>
        <w:t>The system will perform a fine focus and begin sample scanning.</w:t>
      </w:r>
    </w:p>
    <w:p w:rsidR="006B0E63" w:rsidRPr="007E40FA" w:rsidRDefault="006B0E63" w:rsidP="0053484E">
      <w:pPr>
        <w:pStyle w:val="ListParagraph"/>
        <w:spacing w:after="0" w:line="240" w:lineRule="auto"/>
        <w:ind w:left="0"/>
        <w:jc w:val="both"/>
        <w:rPr>
          <w:rFonts w:ascii="Times New Roman" w:eastAsiaTheme="minorHAnsi" w:hAnsi="Times New Roman"/>
          <w:sz w:val="24"/>
          <w:szCs w:val="24"/>
        </w:rPr>
      </w:pPr>
    </w:p>
    <w:p w:rsidR="006B0E63" w:rsidRPr="003C131A" w:rsidRDefault="00AD6C70" w:rsidP="0053484E">
      <w:pPr>
        <w:pStyle w:val="ListParagraph"/>
        <w:numPr>
          <w:ilvl w:val="1"/>
          <w:numId w:val="4"/>
        </w:numPr>
        <w:spacing w:after="0" w:line="240" w:lineRule="auto"/>
        <w:ind w:left="0" w:firstLine="0"/>
        <w:jc w:val="both"/>
        <w:rPr>
          <w:rFonts w:ascii="Times New Roman" w:eastAsiaTheme="minorHAnsi" w:hAnsi="Times New Roman"/>
          <w:sz w:val="24"/>
          <w:szCs w:val="24"/>
        </w:rPr>
      </w:pPr>
      <w:bookmarkStart w:id="0" w:name="_GoBack"/>
      <w:bookmarkEnd w:id="0"/>
      <w:r w:rsidRPr="003C131A">
        <w:rPr>
          <w:rFonts w:ascii="Times New Roman" w:eastAsiaTheme="minorHAnsi" w:hAnsi="Times New Roman"/>
          <w:sz w:val="24"/>
          <w:szCs w:val="24"/>
        </w:rPr>
        <w:t xml:space="preserve">Following control scanning the results should be </w:t>
      </w:r>
      <w:r w:rsidR="006925ED" w:rsidRPr="003C131A">
        <w:rPr>
          <w:rFonts w:ascii="Times New Roman" w:eastAsiaTheme="minorHAnsi" w:hAnsi="Times New Roman"/>
          <w:sz w:val="24"/>
          <w:szCs w:val="24"/>
        </w:rPr>
        <w:t>validated</w:t>
      </w:r>
      <w:r w:rsidRPr="003C131A">
        <w:rPr>
          <w:rFonts w:ascii="Times New Roman" w:eastAsiaTheme="minorHAnsi" w:hAnsi="Times New Roman"/>
          <w:sz w:val="24"/>
          <w:szCs w:val="24"/>
        </w:rPr>
        <w:t xml:space="preserve"> using the defined criteria for cells spiked at high (CK</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DAPI</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CD45</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APC</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 and low (CK</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DAPI</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CD45</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FITC</w:t>
      </w:r>
      <w:r w:rsidRPr="003C131A">
        <w:rPr>
          <w:rFonts w:ascii="Times New Roman" w:eastAsiaTheme="minorHAnsi" w:hAnsi="Times New Roman"/>
          <w:sz w:val="24"/>
          <w:szCs w:val="24"/>
          <w:vertAlign w:val="superscript"/>
        </w:rPr>
        <w:t>+</w:t>
      </w:r>
      <w:r w:rsidRPr="003C131A">
        <w:rPr>
          <w:rFonts w:ascii="Times New Roman" w:eastAsiaTheme="minorHAnsi" w:hAnsi="Times New Roman"/>
          <w:sz w:val="24"/>
          <w:szCs w:val="24"/>
        </w:rPr>
        <w:t>) concentrations.</w:t>
      </w:r>
      <w:r w:rsidR="0053484E" w:rsidRPr="003C131A">
        <w:rPr>
          <w:rFonts w:ascii="Times New Roman" w:eastAsiaTheme="minorHAnsi" w:hAnsi="Times New Roman"/>
          <w:sz w:val="24"/>
          <w:szCs w:val="24"/>
        </w:rPr>
        <w:t xml:space="preserve"> </w:t>
      </w:r>
      <w:r w:rsidR="006B0E63" w:rsidRPr="003C131A">
        <w:rPr>
          <w:rFonts w:ascii="Times New Roman" w:eastAsiaTheme="minorHAnsi" w:hAnsi="Times New Roman"/>
          <w:sz w:val="24"/>
          <w:szCs w:val="24"/>
        </w:rPr>
        <w:t xml:space="preserve">Following </w:t>
      </w:r>
      <w:r w:rsidR="006925ED" w:rsidRPr="003C131A">
        <w:rPr>
          <w:rFonts w:ascii="Times New Roman" w:eastAsiaTheme="minorHAnsi" w:hAnsi="Times New Roman"/>
          <w:sz w:val="24"/>
          <w:szCs w:val="24"/>
        </w:rPr>
        <w:t xml:space="preserve">patient </w:t>
      </w:r>
      <w:r w:rsidR="006B0E63" w:rsidRPr="003C131A">
        <w:rPr>
          <w:rFonts w:ascii="Times New Roman" w:eastAsiaTheme="minorHAnsi" w:hAnsi="Times New Roman"/>
          <w:sz w:val="24"/>
          <w:szCs w:val="24"/>
        </w:rPr>
        <w:t>sample scanning the results should be reviewed for captured CTCs using the defined CTC criteria (CK</w:t>
      </w:r>
      <w:r w:rsidR="006B0E63" w:rsidRPr="003C131A">
        <w:rPr>
          <w:rFonts w:ascii="Times New Roman" w:eastAsiaTheme="minorHAnsi" w:hAnsi="Times New Roman"/>
          <w:sz w:val="24"/>
          <w:szCs w:val="24"/>
          <w:vertAlign w:val="superscript"/>
        </w:rPr>
        <w:t>+</w:t>
      </w:r>
      <w:r w:rsidR="006B0E63" w:rsidRPr="003C131A">
        <w:rPr>
          <w:rFonts w:ascii="Times New Roman" w:eastAsiaTheme="minorHAnsi" w:hAnsi="Times New Roman"/>
          <w:sz w:val="24"/>
          <w:szCs w:val="24"/>
        </w:rPr>
        <w:t>DAPI</w:t>
      </w:r>
      <w:r w:rsidR="006B0E63" w:rsidRPr="003C131A">
        <w:rPr>
          <w:rFonts w:ascii="Times New Roman" w:eastAsiaTheme="minorHAnsi" w:hAnsi="Times New Roman"/>
          <w:sz w:val="24"/>
          <w:szCs w:val="24"/>
          <w:vertAlign w:val="superscript"/>
        </w:rPr>
        <w:t>+</w:t>
      </w:r>
      <w:r w:rsidR="006B0E63" w:rsidRPr="003C131A">
        <w:rPr>
          <w:rFonts w:ascii="Times New Roman" w:eastAsiaTheme="minorHAnsi" w:hAnsi="Times New Roman"/>
          <w:sz w:val="24"/>
          <w:szCs w:val="24"/>
        </w:rPr>
        <w:t>CD45</w:t>
      </w:r>
      <w:r w:rsidR="006B0E63" w:rsidRPr="003C131A">
        <w:rPr>
          <w:rFonts w:ascii="Times New Roman" w:eastAsiaTheme="minorHAnsi" w:hAnsi="Times New Roman"/>
          <w:sz w:val="24"/>
          <w:szCs w:val="24"/>
          <w:vertAlign w:val="superscript"/>
        </w:rPr>
        <w:t>-</w:t>
      </w:r>
      <w:r w:rsidR="006B0E63" w:rsidRPr="003C131A">
        <w:rPr>
          <w:rFonts w:ascii="Times New Roman" w:eastAsiaTheme="minorHAnsi" w:hAnsi="Times New Roman"/>
          <w:sz w:val="24"/>
          <w:szCs w:val="24"/>
        </w:rPr>
        <w:t>).</w:t>
      </w:r>
    </w:p>
    <w:p w:rsidR="006975D9" w:rsidRPr="007E40FA" w:rsidRDefault="006975D9" w:rsidP="0053484E">
      <w:pPr>
        <w:spacing w:after="0" w:line="240" w:lineRule="auto"/>
        <w:jc w:val="both"/>
        <w:rPr>
          <w:rFonts w:ascii="Times New Roman" w:eastAsiaTheme="minorHAnsi" w:hAnsi="Times New Roman"/>
          <w:sz w:val="24"/>
          <w:szCs w:val="24"/>
        </w:rPr>
      </w:pPr>
    </w:p>
    <w:p w:rsidR="00606B83" w:rsidRPr="007E40FA" w:rsidRDefault="00522D1A" w:rsidP="0053484E">
      <w:pPr>
        <w:spacing w:after="0" w:line="240" w:lineRule="auto"/>
        <w:jc w:val="both"/>
        <w:rPr>
          <w:rFonts w:ascii="Times New Roman" w:hAnsi="Times New Roman"/>
          <w:b/>
          <w:sz w:val="24"/>
          <w:szCs w:val="24"/>
          <w:u w:val="single"/>
        </w:rPr>
      </w:pPr>
      <w:r w:rsidRPr="007E40FA">
        <w:rPr>
          <w:rFonts w:ascii="Times New Roman" w:hAnsi="Times New Roman"/>
          <w:b/>
          <w:sz w:val="24"/>
          <w:szCs w:val="24"/>
          <w:u w:val="single"/>
        </w:rPr>
        <w:t xml:space="preserve">CTC Characterization for </w:t>
      </w:r>
      <w:r w:rsidR="00606B83" w:rsidRPr="007E40FA">
        <w:rPr>
          <w:rFonts w:ascii="Times New Roman" w:hAnsi="Times New Roman"/>
          <w:b/>
          <w:sz w:val="24"/>
          <w:szCs w:val="24"/>
          <w:u w:val="single"/>
        </w:rPr>
        <w:t>User-Defined Marker</w:t>
      </w:r>
      <w:r w:rsidRPr="007E40FA">
        <w:rPr>
          <w:rFonts w:ascii="Times New Roman" w:hAnsi="Times New Roman"/>
          <w:b/>
          <w:sz w:val="24"/>
          <w:szCs w:val="24"/>
          <w:u w:val="single"/>
        </w:rPr>
        <w:t>s</w:t>
      </w:r>
      <w:r w:rsidR="00606B83" w:rsidRPr="007E40FA">
        <w:rPr>
          <w:rFonts w:ascii="Times New Roman" w:hAnsi="Times New Roman"/>
          <w:b/>
          <w:sz w:val="24"/>
          <w:szCs w:val="24"/>
          <w:u w:val="single"/>
        </w:rPr>
        <w:t xml:space="preserve"> using the </w:t>
      </w:r>
      <w:r w:rsidR="004C0272" w:rsidRPr="007E40FA">
        <w:rPr>
          <w:rFonts w:ascii="Times New Roman" w:hAnsi="Times New Roman"/>
          <w:b/>
          <w:sz w:val="24"/>
          <w:szCs w:val="24"/>
          <w:u w:val="single"/>
        </w:rPr>
        <w:t>CSS</w:t>
      </w:r>
    </w:p>
    <w:p w:rsidR="00522D1A" w:rsidRPr="007E40FA" w:rsidRDefault="00522D1A" w:rsidP="0053484E">
      <w:pPr>
        <w:spacing w:after="0" w:line="240" w:lineRule="auto"/>
        <w:jc w:val="both"/>
        <w:rPr>
          <w:rFonts w:ascii="Times New Roman" w:eastAsiaTheme="minorHAnsi" w:hAnsi="Times New Roman"/>
          <w:sz w:val="24"/>
          <w:szCs w:val="24"/>
          <w:u w:val="single"/>
        </w:rPr>
      </w:pPr>
    </w:p>
    <w:p w:rsidR="00801893" w:rsidRPr="00E429F0" w:rsidRDefault="00522D1A" w:rsidP="0053484E">
      <w:pPr>
        <w:pStyle w:val="ListParagraph"/>
        <w:numPr>
          <w:ilvl w:val="0"/>
          <w:numId w:val="8"/>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Preparation of User-Defined Marker</w:t>
      </w:r>
      <w:r w:rsidR="0029193C" w:rsidRPr="007E40FA">
        <w:rPr>
          <w:rFonts w:ascii="Times New Roman" w:eastAsiaTheme="minorHAnsi" w:hAnsi="Times New Roman"/>
          <w:b/>
          <w:sz w:val="24"/>
          <w:szCs w:val="24"/>
        </w:rPr>
        <w:t>s</w:t>
      </w:r>
      <w:r w:rsidRPr="007E40FA">
        <w:rPr>
          <w:rFonts w:ascii="Times New Roman" w:eastAsiaTheme="minorHAnsi" w:hAnsi="Times New Roman"/>
          <w:b/>
          <w:sz w:val="24"/>
          <w:szCs w:val="24"/>
        </w:rPr>
        <w:t xml:space="preserve"> </w:t>
      </w:r>
      <w:r w:rsidR="00801893" w:rsidRPr="007E40FA">
        <w:rPr>
          <w:rFonts w:ascii="Times New Roman" w:eastAsiaTheme="minorHAnsi" w:hAnsi="Times New Roman"/>
          <w:b/>
          <w:sz w:val="24"/>
          <w:szCs w:val="24"/>
        </w:rPr>
        <w:t xml:space="preserve">and Instrument Initialization </w:t>
      </w:r>
    </w:p>
    <w:p w:rsidR="00801893" w:rsidRPr="007E40FA" w:rsidRDefault="00801893" w:rsidP="0053484E">
      <w:pPr>
        <w:pStyle w:val="ListParagraph"/>
        <w:numPr>
          <w:ilvl w:val="1"/>
          <w:numId w:val="8"/>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Dilute </w:t>
      </w:r>
      <w:r w:rsidR="0029193C" w:rsidRPr="007E40FA">
        <w:rPr>
          <w:rFonts w:ascii="Times New Roman" w:eastAsiaTheme="minorHAnsi" w:hAnsi="Times New Roman"/>
          <w:sz w:val="24"/>
          <w:szCs w:val="24"/>
          <w:highlight w:val="yellow"/>
        </w:rPr>
        <w:t xml:space="preserve">the </w:t>
      </w:r>
      <w:r w:rsidRPr="007E40FA">
        <w:rPr>
          <w:rFonts w:ascii="Times New Roman" w:eastAsiaTheme="minorHAnsi" w:hAnsi="Times New Roman"/>
          <w:sz w:val="24"/>
          <w:szCs w:val="24"/>
          <w:highlight w:val="yellow"/>
        </w:rPr>
        <w:t xml:space="preserve">antibody of interest using </w:t>
      </w:r>
      <w:r w:rsidR="00BE1405" w:rsidRPr="007E40FA">
        <w:rPr>
          <w:rFonts w:ascii="Times New Roman" w:eastAsiaTheme="minorHAnsi" w:hAnsi="Times New Roman"/>
          <w:sz w:val="24"/>
          <w:szCs w:val="24"/>
          <w:highlight w:val="yellow"/>
        </w:rPr>
        <w:t>Bond Primary Antibody Diluent</w:t>
      </w:r>
      <w:r w:rsidRPr="007E40FA">
        <w:rPr>
          <w:rFonts w:ascii="Times New Roman" w:eastAsiaTheme="minorHAnsi" w:hAnsi="Times New Roman"/>
          <w:sz w:val="24"/>
          <w:szCs w:val="24"/>
          <w:highlight w:val="yellow"/>
        </w:rPr>
        <w:t xml:space="preserve"> to the </w:t>
      </w:r>
      <w:r w:rsidR="0029193C" w:rsidRPr="007E40FA">
        <w:rPr>
          <w:rFonts w:ascii="Times New Roman" w:eastAsiaTheme="minorHAnsi" w:hAnsi="Times New Roman"/>
          <w:sz w:val="24"/>
          <w:szCs w:val="24"/>
          <w:highlight w:val="yellow"/>
        </w:rPr>
        <w:t xml:space="preserve">desired </w:t>
      </w:r>
      <w:r w:rsidRPr="007E40FA">
        <w:rPr>
          <w:rFonts w:ascii="Times New Roman" w:eastAsiaTheme="minorHAnsi" w:hAnsi="Times New Roman"/>
          <w:sz w:val="24"/>
          <w:szCs w:val="24"/>
          <w:highlight w:val="yellow"/>
        </w:rPr>
        <w:t>concentration</w:t>
      </w:r>
      <w:r w:rsidR="00BE1405"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in a </w:t>
      </w:r>
      <w:r w:rsidR="00BE1405" w:rsidRPr="007E40FA">
        <w:rPr>
          <w:rFonts w:ascii="Times New Roman" w:eastAsiaTheme="minorHAnsi" w:hAnsi="Times New Roman"/>
          <w:sz w:val="24"/>
          <w:szCs w:val="24"/>
          <w:highlight w:val="yellow"/>
        </w:rPr>
        <w:t>marker reagent</w:t>
      </w:r>
      <w:r w:rsidRPr="007E40FA">
        <w:rPr>
          <w:rFonts w:ascii="Times New Roman" w:eastAsiaTheme="minorHAnsi" w:hAnsi="Times New Roman"/>
          <w:sz w:val="24"/>
          <w:szCs w:val="24"/>
          <w:highlight w:val="yellow"/>
        </w:rPr>
        <w:t xml:space="preserve"> cup</w:t>
      </w:r>
      <w:r w:rsidRPr="007E40FA">
        <w:rPr>
          <w:rFonts w:ascii="Times New Roman" w:eastAsiaTheme="minorHAnsi" w:hAnsi="Times New Roman"/>
          <w:sz w:val="24"/>
          <w:szCs w:val="24"/>
        </w:rPr>
        <w:t xml:space="preserve"> using the following formula</w:t>
      </w:r>
      <w:r w:rsidR="00BC680E" w:rsidRPr="007E40FA">
        <w:rPr>
          <w:rFonts w:ascii="Times New Roman" w:eastAsiaTheme="minorHAnsi" w:hAnsi="Times New Roman"/>
          <w:sz w:val="24"/>
          <w:szCs w:val="24"/>
        </w:rPr>
        <w:t>,</w:t>
      </w:r>
      <w:r w:rsidR="0029193C" w:rsidRPr="007E40FA">
        <w:rPr>
          <w:rFonts w:ascii="Times New Roman" w:eastAsiaTheme="minorHAnsi" w:hAnsi="Times New Roman"/>
          <w:sz w:val="24"/>
          <w:szCs w:val="24"/>
        </w:rPr>
        <w:t xml:space="preserve"> w</w:t>
      </w:r>
      <w:r w:rsidR="00BE1405" w:rsidRPr="007E40FA">
        <w:rPr>
          <w:rFonts w:ascii="Times New Roman" w:eastAsiaTheme="minorHAnsi" w:hAnsi="Times New Roman"/>
          <w:sz w:val="24"/>
          <w:szCs w:val="24"/>
        </w:rPr>
        <w:t xml:space="preserve">here </w:t>
      </w:r>
      <w:r w:rsidR="00974472" w:rsidRPr="007E40FA">
        <w:rPr>
          <w:rFonts w:ascii="Times New Roman" w:eastAsiaTheme="minorHAnsi" w:hAnsi="Times New Roman"/>
          <w:sz w:val="24"/>
          <w:szCs w:val="24"/>
        </w:rPr>
        <w:t xml:space="preserve">the </w:t>
      </w:r>
      <w:r w:rsidR="00BE1405" w:rsidRPr="007E40FA">
        <w:rPr>
          <w:rFonts w:ascii="Times New Roman" w:eastAsiaTheme="minorHAnsi" w:hAnsi="Times New Roman"/>
          <w:sz w:val="24"/>
          <w:szCs w:val="24"/>
        </w:rPr>
        <w:t xml:space="preserve">working concentration is </w:t>
      </w:r>
      <w:r w:rsidR="00974472" w:rsidRPr="007E40FA">
        <w:rPr>
          <w:rFonts w:ascii="Times New Roman" w:eastAsiaTheme="minorHAnsi" w:hAnsi="Times New Roman"/>
          <w:sz w:val="24"/>
          <w:szCs w:val="24"/>
        </w:rPr>
        <w:t>the concentration of the antibody after addition to the sample</w:t>
      </w:r>
      <w:r w:rsidR="00BE1405" w:rsidRPr="007E40FA">
        <w:rPr>
          <w:rFonts w:ascii="Times New Roman" w:eastAsiaTheme="minorHAnsi" w:hAnsi="Times New Roman"/>
          <w:sz w:val="24"/>
          <w:szCs w:val="24"/>
        </w:rPr>
        <w:t xml:space="preserve"> and </w:t>
      </w:r>
      <w:r w:rsidR="00974472" w:rsidRPr="007E40FA">
        <w:rPr>
          <w:rFonts w:ascii="Times New Roman" w:eastAsiaTheme="minorHAnsi" w:hAnsi="Times New Roman"/>
          <w:sz w:val="24"/>
          <w:szCs w:val="24"/>
        </w:rPr>
        <w:t xml:space="preserve">the </w:t>
      </w:r>
      <w:r w:rsidR="00BE1405" w:rsidRPr="007E40FA">
        <w:rPr>
          <w:rFonts w:ascii="Times New Roman" w:eastAsiaTheme="minorHAnsi" w:hAnsi="Times New Roman"/>
          <w:sz w:val="24"/>
          <w:szCs w:val="24"/>
        </w:rPr>
        <w:t xml:space="preserve">stock concentration is </w:t>
      </w:r>
      <w:r w:rsidR="00974472" w:rsidRPr="007E40FA">
        <w:rPr>
          <w:rFonts w:ascii="Times New Roman" w:eastAsiaTheme="minorHAnsi" w:hAnsi="Times New Roman"/>
          <w:sz w:val="24"/>
          <w:szCs w:val="24"/>
        </w:rPr>
        <w:t>the concentration of antibody in the reagent cup</w:t>
      </w:r>
      <w:r w:rsidR="00BE1405" w:rsidRPr="007E40FA">
        <w:rPr>
          <w:rFonts w:ascii="Times New Roman" w:eastAsiaTheme="minorHAnsi" w:hAnsi="Times New Roman"/>
          <w:sz w:val="24"/>
          <w:szCs w:val="24"/>
        </w:rPr>
        <w:t>. For multiple samples</w:t>
      </w:r>
      <w:r w:rsidR="0029193C" w:rsidRPr="007E40FA">
        <w:rPr>
          <w:rFonts w:ascii="Times New Roman" w:eastAsiaTheme="minorHAnsi" w:hAnsi="Times New Roman"/>
          <w:sz w:val="24"/>
          <w:szCs w:val="24"/>
        </w:rPr>
        <w:t>,</w:t>
      </w:r>
      <w:r w:rsidR="00BE1405" w:rsidRPr="007E40FA">
        <w:rPr>
          <w:rFonts w:ascii="Times New Roman" w:eastAsiaTheme="minorHAnsi" w:hAnsi="Times New Roman"/>
          <w:sz w:val="24"/>
          <w:szCs w:val="24"/>
        </w:rPr>
        <w:t xml:space="preserve"> adjust the antibody volumes as described in </w:t>
      </w:r>
      <w:r w:rsidR="000874E0" w:rsidRPr="007E40FA">
        <w:rPr>
          <w:rFonts w:ascii="Times New Roman" w:eastAsiaTheme="minorHAnsi" w:hAnsi="Times New Roman"/>
          <w:b/>
          <w:sz w:val="24"/>
          <w:szCs w:val="24"/>
        </w:rPr>
        <w:t>Table 1</w:t>
      </w:r>
      <w:r w:rsidR="00BE1405" w:rsidRPr="007E40FA">
        <w:rPr>
          <w:rFonts w:ascii="Times New Roman" w:eastAsiaTheme="minorHAnsi" w:hAnsi="Times New Roman"/>
          <w:sz w:val="24"/>
          <w:szCs w:val="24"/>
        </w:rPr>
        <w:t>.</w:t>
      </w:r>
      <w:r w:rsidR="0029193C" w:rsidRPr="007E40FA">
        <w:rPr>
          <w:rFonts w:ascii="Times New Roman" w:eastAsiaTheme="minorHAnsi" w:hAnsi="Times New Roman"/>
          <w:sz w:val="24"/>
          <w:szCs w:val="24"/>
        </w:rPr>
        <w:t xml:space="preserve"> </w:t>
      </w:r>
      <w:r w:rsidR="0029193C" w:rsidRPr="007E40FA">
        <w:rPr>
          <w:rFonts w:ascii="Times New Roman" w:eastAsiaTheme="minorHAnsi" w:hAnsi="Times New Roman"/>
          <w:sz w:val="24"/>
          <w:szCs w:val="24"/>
          <w:highlight w:val="yellow"/>
        </w:rPr>
        <w:t xml:space="preserve">Place the marker reagent cup into position 1 in the reagent cartridge and load the cartridge onto </w:t>
      </w:r>
      <w:r w:rsidR="004C0272" w:rsidRPr="007E40FA">
        <w:rPr>
          <w:rFonts w:ascii="Times New Roman" w:eastAsiaTheme="minorHAnsi" w:hAnsi="Times New Roman"/>
          <w:sz w:val="24"/>
          <w:szCs w:val="24"/>
          <w:highlight w:val="yellow"/>
        </w:rPr>
        <w:t>CSS</w:t>
      </w:r>
      <w:r w:rsidR="0029193C" w:rsidRPr="007E40FA">
        <w:rPr>
          <w:rFonts w:ascii="Times New Roman" w:eastAsiaTheme="minorHAnsi" w:hAnsi="Times New Roman"/>
          <w:sz w:val="24"/>
          <w:szCs w:val="24"/>
          <w:highlight w:val="yellow"/>
        </w:rPr>
        <w:t>.</w:t>
      </w:r>
    </w:p>
    <w:p w:rsidR="00801893" w:rsidRPr="007E40FA" w:rsidRDefault="00801893" w:rsidP="0053484E">
      <w:pPr>
        <w:pStyle w:val="ListParagraph"/>
        <w:spacing w:after="0" w:line="240" w:lineRule="auto"/>
        <w:ind w:left="0"/>
        <w:jc w:val="both"/>
        <w:rPr>
          <w:rFonts w:ascii="Times New Roman" w:eastAsiaTheme="minorHAnsi" w:hAnsi="Times New Roman"/>
          <w:sz w:val="24"/>
          <w:szCs w:val="24"/>
        </w:rPr>
      </w:pPr>
    </w:p>
    <w:p w:rsidR="00BD04DF" w:rsidRPr="007E40FA" w:rsidRDefault="00974472" w:rsidP="0053484E">
      <w:pPr>
        <w:pStyle w:val="ListParagraph"/>
        <w:spacing w:after="0" w:line="240" w:lineRule="auto"/>
        <w:ind w:left="0"/>
        <w:jc w:val="center"/>
        <w:rPr>
          <w:rFonts w:ascii="Times New Roman" w:eastAsiaTheme="minorHAnsi" w:hAnsi="Times New Roman"/>
          <w:sz w:val="24"/>
          <w:szCs w:val="24"/>
          <w:u w:val="single"/>
        </w:rPr>
      </w:pPr>
      <w:r w:rsidRPr="007E40FA">
        <w:rPr>
          <w:rFonts w:ascii="Times New Roman" w:eastAsiaTheme="minorHAnsi" w:hAnsi="Times New Roman"/>
          <w:sz w:val="24"/>
          <w:szCs w:val="24"/>
        </w:rPr>
        <w:t>Stock</w:t>
      </w:r>
      <w:r w:rsidR="00801893" w:rsidRPr="007E40FA">
        <w:rPr>
          <w:rFonts w:ascii="Times New Roman" w:eastAsiaTheme="minorHAnsi" w:hAnsi="Times New Roman"/>
          <w:sz w:val="24"/>
          <w:szCs w:val="24"/>
        </w:rPr>
        <w:t xml:space="preserve"> Concentration = </w:t>
      </w:r>
      <w:r w:rsidR="00F135CF" w:rsidRPr="007E40FA">
        <w:rPr>
          <w:rFonts w:ascii="Times New Roman" w:eastAsiaTheme="minorHAnsi" w:hAnsi="Times New Roman"/>
          <w:sz w:val="24"/>
          <w:szCs w:val="24"/>
          <w:u w:val="single"/>
        </w:rPr>
        <w:t>Working Concentration x 850µl</w:t>
      </w:r>
    </w:p>
    <w:p w:rsidR="00F135CF" w:rsidRPr="007E40FA" w:rsidRDefault="00E42C4C" w:rsidP="0053484E">
      <w:pPr>
        <w:pStyle w:val="ListParagraph"/>
        <w:spacing w:after="0" w:line="240" w:lineRule="auto"/>
        <w:ind w:left="0"/>
        <w:jc w:val="center"/>
        <w:rPr>
          <w:rFonts w:ascii="Times New Roman" w:eastAsiaTheme="minorHAnsi" w:hAnsi="Times New Roman"/>
          <w:sz w:val="24"/>
          <w:szCs w:val="24"/>
        </w:rPr>
      </w:pPr>
      <w:r w:rsidRPr="007E40FA">
        <w:rPr>
          <w:rFonts w:ascii="Times New Roman" w:eastAsiaTheme="minorHAnsi" w:hAnsi="Times New Roman"/>
          <w:sz w:val="24"/>
          <w:szCs w:val="24"/>
        </w:rPr>
        <w:t xml:space="preserve">       </w:t>
      </w:r>
      <w:r w:rsidR="00F135CF" w:rsidRPr="007E40FA">
        <w:rPr>
          <w:rFonts w:ascii="Times New Roman" w:eastAsiaTheme="minorHAnsi" w:hAnsi="Times New Roman"/>
          <w:sz w:val="24"/>
          <w:szCs w:val="24"/>
        </w:rPr>
        <w:t>150µl</w:t>
      </w:r>
    </w:p>
    <w:p w:rsidR="00FB75F9" w:rsidRPr="007E40FA" w:rsidRDefault="00FB75F9" w:rsidP="0053484E">
      <w:pPr>
        <w:spacing w:after="0" w:line="240" w:lineRule="auto"/>
        <w:jc w:val="both"/>
        <w:rPr>
          <w:rFonts w:ascii="Times New Roman" w:eastAsiaTheme="minorHAnsi" w:hAnsi="Times New Roman"/>
          <w:sz w:val="24"/>
          <w:szCs w:val="24"/>
        </w:rPr>
      </w:pPr>
    </w:p>
    <w:p w:rsidR="00BD04DF" w:rsidRPr="009F3ABD" w:rsidRDefault="00BD04DF" w:rsidP="0053484E">
      <w:pPr>
        <w:pStyle w:val="ListParagraph"/>
        <w:numPr>
          <w:ilvl w:val="1"/>
          <w:numId w:val="8"/>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rPr>
        <w:t>Collect blood</w:t>
      </w:r>
      <w:r w:rsidR="00BE1405"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prepare samples</w:t>
      </w:r>
      <w:r w:rsidR="00BE1405" w:rsidRPr="007E40FA">
        <w:rPr>
          <w:rFonts w:ascii="Times New Roman" w:eastAsiaTheme="minorHAnsi" w:hAnsi="Times New Roman"/>
          <w:sz w:val="24"/>
          <w:szCs w:val="24"/>
        </w:rPr>
        <w:t xml:space="preserve">, and load </w:t>
      </w:r>
      <w:r w:rsidR="004C0272" w:rsidRPr="007E40FA">
        <w:rPr>
          <w:rFonts w:ascii="Times New Roman" w:eastAsiaTheme="minorHAnsi" w:hAnsi="Times New Roman"/>
          <w:sz w:val="24"/>
          <w:szCs w:val="24"/>
        </w:rPr>
        <w:t>the preparation instrument</w:t>
      </w:r>
      <w:r w:rsidRPr="007E40FA">
        <w:rPr>
          <w:rFonts w:ascii="Times New Roman" w:eastAsiaTheme="minorHAnsi" w:hAnsi="Times New Roman"/>
          <w:sz w:val="24"/>
          <w:szCs w:val="24"/>
        </w:rPr>
        <w:t xml:space="preserve"> as described in the</w:t>
      </w:r>
      <w:r w:rsidR="00BC680E" w:rsidRPr="007E40FA">
        <w:rPr>
          <w:rFonts w:ascii="Times New Roman" w:eastAsiaTheme="minorHAnsi" w:hAnsi="Times New Roman"/>
          <w:sz w:val="24"/>
          <w:szCs w:val="24"/>
        </w:rPr>
        <w:t xml:space="preserve"> above</w:t>
      </w:r>
      <w:r w:rsidRPr="007E40FA">
        <w:rPr>
          <w:rFonts w:ascii="Times New Roman" w:eastAsiaTheme="minorHAnsi" w:hAnsi="Times New Roman"/>
          <w:sz w:val="24"/>
          <w:szCs w:val="24"/>
        </w:rPr>
        <w:t xml:space="preserve"> </w:t>
      </w:r>
      <w:r w:rsidR="0029193C" w:rsidRPr="007E40FA">
        <w:rPr>
          <w:rFonts w:ascii="Times New Roman" w:eastAsiaTheme="minorHAnsi" w:hAnsi="Times New Roman"/>
          <w:b/>
          <w:i/>
          <w:sz w:val="24"/>
          <w:szCs w:val="24"/>
        </w:rPr>
        <w:t xml:space="preserve">Standard CTC Enumeration from Patient Blood Samples using the </w:t>
      </w:r>
      <w:r w:rsidR="004C0272" w:rsidRPr="007E40FA">
        <w:rPr>
          <w:rFonts w:ascii="Times New Roman" w:eastAsiaTheme="minorHAnsi" w:hAnsi="Times New Roman"/>
          <w:b/>
          <w:i/>
          <w:sz w:val="24"/>
          <w:szCs w:val="24"/>
        </w:rPr>
        <w:t>CSS</w:t>
      </w:r>
      <w:r w:rsidR="00BE1405" w:rsidRPr="007E40FA">
        <w:rPr>
          <w:rFonts w:ascii="Times New Roman" w:eastAsiaTheme="minorHAnsi" w:hAnsi="Times New Roman"/>
          <w:sz w:val="24"/>
          <w:szCs w:val="24"/>
        </w:rPr>
        <w:t xml:space="preserve"> protocol</w:t>
      </w:r>
      <w:r w:rsidRPr="007E40FA">
        <w:rPr>
          <w:rFonts w:ascii="Times New Roman" w:eastAsiaTheme="minorHAnsi" w:hAnsi="Times New Roman"/>
          <w:sz w:val="24"/>
          <w:szCs w:val="24"/>
        </w:rPr>
        <w:t xml:space="preserve">. </w:t>
      </w:r>
      <w:r w:rsidR="00BE1405" w:rsidRPr="007E40FA">
        <w:rPr>
          <w:rFonts w:ascii="Times New Roman" w:eastAsiaTheme="minorHAnsi" w:hAnsi="Times New Roman"/>
          <w:sz w:val="24"/>
          <w:szCs w:val="24"/>
          <w:highlight w:val="yellow"/>
        </w:rPr>
        <w:t xml:space="preserve">To enable custom marker addition, select </w:t>
      </w:r>
      <w:r w:rsidR="00F135CF" w:rsidRPr="007E40FA">
        <w:rPr>
          <w:rFonts w:ascii="Times New Roman" w:eastAsiaTheme="minorHAnsi" w:hAnsi="Times New Roman"/>
          <w:i/>
          <w:sz w:val="24"/>
          <w:szCs w:val="24"/>
          <w:highlight w:val="yellow"/>
        </w:rPr>
        <w:t xml:space="preserve">User Defined Assay </w:t>
      </w:r>
      <w:r w:rsidR="00BE1405" w:rsidRPr="007E40FA">
        <w:rPr>
          <w:rFonts w:ascii="Times New Roman" w:eastAsiaTheme="minorHAnsi" w:hAnsi="Times New Roman"/>
          <w:sz w:val="24"/>
          <w:szCs w:val="24"/>
          <w:highlight w:val="yellow"/>
        </w:rPr>
        <w:t xml:space="preserve">when prompted by the </w:t>
      </w:r>
      <w:r w:rsidR="004C0272" w:rsidRPr="007E40FA">
        <w:rPr>
          <w:rFonts w:ascii="Times New Roman" w:eastAsiaTheme="minorHAnsi" w:hAnsi="Times New Roman"/>
          <w:sz w:val="24"/>
          <w:szCs w:val="24"/>
          <w:highlight w:val="yellow"/>
        </w:rPr>
        <w:t>preparation instrument</w:t>
      </w:r>
      <w:r w:rsidR="00BE1405" w:rsidRPr="007E40FA">
        <w:rPr>
          <w:rFonts w:ascii="Times New Roman" w:eastAsiaTheme="minorHAnsi" w:hAnsi="Times New Roman"/>
          <w:sz w:val="24"/>
          <w:szCs w:val="24"/>
          <w:highlight w:val="yellow"/>
        </w:rPr>
        <w:t xml:space="preserve">. </w:t>
      </w:r>
      <w:r w:rsidR="00B009F0" w:rsidRPr="007E40FA">
        <w:rPr>
          <w:rFonts w:ascii="Times New Roman" w:eastAsiaTheme="minorHAnsi" w:hAnsi="Times New Roman"/>
          <w:sz w:val="24"/>
          <w:szCs w:val="24"/>
          <w:highlight w:val="yellow"/>
        </w:rPr>
        <w:t xml:space="preserve">Input </w:t>
      </w:r>
      <w:r w:rsidR="0029193C" w:rsidRPr="007E40FA">
        <w:rPr>
          <w:rFonts w:ascii="Times New Roman" w:eastAsiaTheme="minorHAnsi" w:hAnsi="Times New Roman"/>
          <w:sz w:val="24"/>
          <w:szCs w:val="24"/>
          <w:highlight w:val="yellow"/>
        </w:rPr>
        <w:t xml:space="preserve">the </w:t>
      </w:r>
      <w:r w:rsidR="00B009F0" w:rsidRPr="007E40FA">
        <w:rPr>
          <w:rFonts w:ascii="Times New Roman" w:eastAsiaTheme="minorHAnsi" w:hAnsi="Times New Roman"/>
          <w:sz w:val="24"/>
          <w:szCs w:val="24"/>
          <w:highlight w:val="yellow"/>
        </w:rPr>
        <w:t xml:space="preserve">marker name and select </w:t>
      </w:r>
      <w:r w:rsidR="00B009F0" w:rsidRPr="007E40FA">
        <w:rPr>
          <w:rFonts w:ascii="Times New Roman" w:eastAsiaTheme="minorHAnsi" w:hAnsi="Times New Roman"/>
          <w:i/>
          <w:sz w:val="24"/>
          <w:szCs w:val="24"/>
          <w:highlight w:val="yellow"/>
        </w:rPr>
        <w:t>Save</w:t>
      </w:r>
      <w:r w:rsidR="00B009F0" w:rsidRPr="007E40FA">
        <w:rPr>
          <w:rFonts w:ascii="Times New Roman" w:eastAsiaTheme="minorHAnsi" w:hAnsi="Times New Roman"/>
          <w:sz w:val="24"/>
          <w:szCs w:val="24"/>
          <w:highlight w:val="yellow"/>
        </w:rPr>
        <w:t xml:space="preserve">. </w:t>
      </w:r>
      <w:r w:rsidR="00B009F0" w:rsidRPr="009F3ABD">
        <w:rPr>
          <w:rFonts w:ascii="Times New Roman" w:eastAsiaTheme="minorHAnsi" w:hAnsi="Times New Roman"/>
          <w:sz w:val="24"/>
          <w:szCs w:val="24"/>
        </w:rPr>
        <w:t xml:space="preserve">As samples are loaded onto the, </w:t>
      </w:r>
      <w:r w:rsidR="00980147" w:rsidRPr="009F3ABD">
        <w:rPr>
          <w:rFonts w:ascii="Times New Roman" w:eastAsiaTheme="minorHAnsi" w:hAnsi="Times New Roman"/>
          <w:sz w:val="24"/>
          <w:szCs w:val="24"/>
        </w:rPr>
        <w:t>the operator</w:t>
      </w:r>
      <w:r w:rsidR="00B009F0" w:rsidRPr="009F3ABD">
        <w:rPr>
          <w:rFonts w:ascii="Times New Roman" w:eastAsiaTheme="minorHAnsi" w:hAnsi="Times New Roman"/>
          <w:sz w:val="24"/>
          <w:szCs w:val="24"/>
        </w:rPr>
        <w:t xml:space="preserve"> will</w:t>
      </w:r>
      <w:r w:rsidR="00980147" w:rsidRPr="009F3ABD">
        <w:rPr>
          <w:rFonts w:ascii="Times New Roman" w:eastAsiaTheme="minorHAnsi" w:hAnsi="Times New Roman"/>
          <w:sz w:val="24"/>
          <w:szCs w:val="24"/>
        </w:rPr>
        <w:t xml:space="preserve"> be</w:t>
      </w:r>
      <w:r w:rsidR="00B009F0" w:rsidRPr="009F3ABD">
        <w:rPr>
          <w:rFonts w:ascii="Times New Roman" w:eastAsiaTheme="minorHAnsi" w:hAnsi="Times New Roman"/>
          <w:sz w:val="24"/>
          <w:szCs w:val="24"/>
        </w:rPr>
        <w:t xml:space="preserve"> prompted to indicate which should receive custom marker</w:t>
      </w:r>
      <w:r w:rsidR="00F135CF" w:rsidRPr="009F3ABD">
        <w:rPr>
          <w:rFonts w:ascii="Times New Roman" w:eastAsiaTheme="minorHAnsi" w:hAnsi="Times New Roman"/>
          <w:sz w:val="24"/>
          <w:szCs w:val="24"/>
        </w:rPr>
        <w:t xml:space="preserve"> by selecting </w:t>
      </w:r>
      <w:r w:rsidR="00F135CF" w:rsidRPr="009F3ABD">
        <w:rPr>
          <w:rFonts w:ascii="Times New Roman" w:eastAsiaTheme="minorHAnsi" w:hAnsi="Times New Roman"/>
          <w:i/>
          <w:sz w:val="24"/>
          <w:szCs w:val="24"/>
        </w:rPr>
        <w:t>Yes</w:t>
      </w:r>
      <w:r w:rsidR="00F135CF" w:rsidRPr="009F3ABD">
        <w:rPr>
          <w:rFonts w:ascii="Times New Roman" w:eastAsiaTheme="minorHAnsi" w:hAnsi="Times New Roman"/>
          <w:sz w:val="24"/>
          <w:szCs w:val="24"/>
        </w:rPr>
        <w:t xml:space="preserve"> or </w:t>
      </w:r>
      <w:r w:rsidR="00F135CF" w:rsidRPr="009F3ABD">
        <w:rPr>
          <w:rFonts w:ascii="Times New Roman" w:eastAsiaTheme="minorHAnsi" w:hAnsi="Times New Roman"/>
          <w:i/>
          <w:sz w:val="24"/>
          <w:szCs w:val="24"/>
        </w:rPr>
        <w:t>No</w:t>
      </w:r>
      <w:r w:rsidR="0029193C" w:rsidRPr="009F3ABD">
        <w:rPr>
          <w:rFonts w:ascii="Times New Roman" w:eastAsiaTheme="minorHAnsi" w:hAnsi="Times New Roman"/>
          <w:i/>
          <w:sz w:val="24"/>
          <w:szCs w:val="24"/>
        </w:rPr>
        <w:t xml:space="preserve"> </w:t>
      </w:r>
      <w:r w:rsidR="0029193C" w:rsidRPr="009F3ABD">
        <w:rPr>
          <w:rFonts w:ascii="Times New Roman" w:eastAsiaTheme="minorHAnsi" w:hAnsi="Times New Roman"/>
          <w:sz w:val="24"/>
          <w:szCs w:val="24"/>
        </w:rPr>
        <w:t>as necessary</w:t>
      </w:r>
      <w:r w:rsidR="00B009F0" w:rsidRPr="009F3ABD">
        <w:rPr>
          <w:rFonts w:ascii="Times New Roman" w:eastAsiaTheme="minorHAnsi" w:hAnsi="Times New Roman"/>
          <w:sz w:val="24"/>
          <w:szCs w:val="24"/>
        </w:rPr>
        <w:t xml:space="preserve">. </w:t>
      </w:r>
    </w:p>
    <w:p w:rsidR="00BC680E" w:rsidRPr="007E40FA" w:rsidRDefault="00BC680E" w:rsidP="0053484E">
      <w:pPr>
        <w:pStyle w:val="ListParagraph"/>
        <w:spacing w:after="0" w:line="240" w:lineRule="auto"/>
        <w:ind w:left="0"/>
        <w:jc w:val="both"/>
        <w:rPr>
          <w:rFonts w:ascii="Times New Roman" w:eastAsiaTheme="minorHAnsi" w:hAnsi="Times New Roman"/>
          <w:b/>
          <w:sz w:val="24"/>
          <w:szCs w:val="24"/>
        </w:rPr>
      </w:pPr>
    </w:p>
    <w:p w:rsidR="0029193C" w:rsidRPr="00E429F0" w:rsidRDefault="00801893" w:rsidP="0053484E">
      <w:pPr>
        <w:pStyle w:val="ListParagraph"/>
        <w:numPr>
          <w:ilvl w:val="0"/>
          <w:numId w:val="8"/>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 xml:space="preserve">Sample Scanning </w:t>
      </w:r>
      <w:r w:rsidR="0029193C" w:rsidRPr="007E40FA">
        <w:rPr>
          <w:rFonts w:ascii="Times New Roman" w:eastAsiaTheme="minorHAnsi" w:hAnsi="Times New Roman"/>
          <w:b/>
          <w:sz w:val="24"/>
          <w:szCs w:val="24"/>
        </w:rPr>
        <w:t xml:space="preserve">of User-Defined Markers </w:t>
      </w:r>
      <w:r w:rsidRPr="007E40FA">
        <w:rPr>
          <w:rFonts w:ascii="Times New Roman" w:eastAsiaTheme="minorHAnsi" w:hAnsi="Times New Roman"/>
          <w:b/>
          <w:sz w:val="24"/>
          <w:szCs w:val="24"/>
        </w:rPr>
        <w:t xml:space="preserve">on the </w:t>
      </w:r>
      <w:r w:rsidR="00F131F9" w:rsidRPr="007E40FA">
        <w:rPr>
          <w:rFonts w:ascii="Times New Roman" w:eastAsiaTheme="minorHAnsi" w:hAnsi="Times New Roman"/>
          <w:b/>
          <w:sz w:val="24"/>
          <w:szCs w:val="24"/>
        </w:rPr>
        <w:t>Analysis Instrument</w:t>
      </w:r>
    </w:p>
    <w:p w:rsidR="0029193C" w:rsidRPr="007E40FA" w:rsidRDefault="00B009F0" w:rsidP="0053484E">
      <w:pPr>
        <w:pStyle w:val="ListParagraph"/>
        <w:numPr>
          <w:ilvl w:val="1"/>
          <w:numId w:val="8"/>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sz w:val="24"/>
          <w:szCs w:val="24"/>
        </w:rPr>
        <w:t xml:space="preserve">Turn on the </w:t>
      </w:r>
      <w:r w:rsidR="00F131F9" w:rsidRPr="007E40FA">
        <w:rPr>
          <w:rFonts w:ascii="Times New Roman" w:eastAsiaTheme="minorHAnsi" w:hAnsi="Times New Roman"/>
          <w:sz w:val="24"/>
          <w:szCs w:val="24"/>
        </w:rPr>
        <w:t>analysis instrument</w:t>
      </w:r>
      <w:r w:rsidRPr="007E40FA">
        <w:rPr>
          <w:rFonts w:ascii="Times New Roman" w:eastAsiaTheme="minorHAnsi" w:hAnsi="Times New Roman"/>
          <w:sz w:val="24"/>
          <w:szCs w:val="24"/>
        </w:rPr>
        <w:t xml:space="preserve">, initialize the lamp, and perform quality control and system verification as described in section 3.2 of the </w:t>
      </w:r>
      <w:r w:rsidR="0029193C" w:rsidRPr="007E40FA">
        <w:rPr>
          <w:rFonts w:ascii="Times New Roman" w:eastAsiaTheme="minorHAnsi" w:hAnsi="Times New Roman"/>
          <w:b/>
          <w:i/>
          <w:sz w:val="24"/>
          <w:szCs w:val="24"/>
        </w:rPr>
        <w:t xml:space="preserve">Standard CTC Enumeration from Patient Blood Samples using the </w:t>
      </w:r>
      <w:r w:rsidR="004C0272" w:rsidRPr="007E40FA">
        <w:rPr>
          <w:rFonts w:ascii="Times New Roman" w:eastAsiaTheme="minorHAnsi" w:hAnsi="Times New Roman"/>
          <w:b/>
          <w:i/>
          <w:sz w:val="24"/>
          <w:szCs w:val="24"/>
        </w:rPr>
        <w:t>CSS</w:t>
      </w:r>
      <w:r w:rsidR="0029193C"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protocol.</w:t>
      </w:r>
    </w:p>
    <w:p w:rsidR="0029193C" w:rsidRPr="007E40FA" w:rsidRDefault="0029193C" w:rsidP="0053484E">
      <w:pPr>
        <w:pStyle w:val="ListParagraph"/>
        <w:spacing w:after="0" w:line="240" w:lineRule="auto"/>
        <w:ind w:left="0"/>
        <w:jc w:val="both"/>
        <w:rPr>
          <w:rFonts w:ascii="Times New Roman" w:eastAsiaTheme="minorHAnsi" w:hAnsi="Times New Roman"/>
          <w:b/>
          <w:sz w:val="24"/>
          <w:szCs w:val="24"/>
        </w:rPr>
      </w:pPr>
    </w:p>
    <w:p w:rsidR="00BD04DF" w:rsidRPr="007E40FA" w:rsidRDefault="00B009F0" w:rsidP="0053484E">
      <w:pPr>
        <w:pStyle w:val="ListParagraph"/>
        <w:numPr>
          <w:ilvl w:val="1"/>
          <w:numId w:val="8"/>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sz w:val="24"/>
          <w:szCs w:val="24"/>
          <w:highlight w:val="yellow"/>
        </w:rPr>
        <w:lastRenderedPageBreak/>
        <w:t xml:space="preserve">Load </w:t>
      </w:r>
      <w:r w:rsidR="0029193C" w:rsidRPr="007E40FA">
        <w:rPr>
          <w:rFonts w:ascii="Times New Roman" w:eastAsiaTheme="minorHAnsi" w:hAnsi="Times New Roman"/>
          <w:sz w:val="24"/>
          <w:szCs w:val="24"/>
          <w:highlight w:val="yellow"/>
        </w:rPr>
        <w:t xml:space="preserve">a </w:t>
      </w:r>
      <w:r w:rsidRPr="007E40FA">
        <w:rPr>
          <w:rFonts w:ascii="Times New Roman" w:eastAsiaTheme="minorHAnsi" w:hAnsi="Times New Roman"/>
          <w:sz w:val="24"/>
          <w:szCs w:val="24"/>
          <w:highlight w:val="yellow"/>
        </w:rPr>
        <w:t xml:space="preserve">sample onto the </w:t>
      </w:r>
      <w:r w:rsidR="00F131F9" w:rsidRPr="007E40FA">
        <w:rPr>
          <w:rFonts w:ascii="Times New Roman" w:eastAsiaTheme="minorHAnsi" w:hAnsi="Times New Roman"/>
          <w:sz w:val="24"/>
          <w:szCs w:val="24"/>
          <w:highlight w:val="yellow"/>
        </w:rPr>
        <w:t>analysis instrument</w:t>
      </w:r>
      <w:r w:rsidRPr="007E40FA">
        <w:rPr>
          <w:rFonts w:ascii="Times New Roman" w:eastAsiaTheme="minorHAnsi" w:hAnsi="Times New Roman"/>
          <w:sz w:val="24"/>
          <w:szCs w:val="24"/>
          <w:highlight w:val="yellow"/>
        </w:rPr>
        <w:t xml:space="preserve"> and select the </w:t>
      </w:r>
      <w:r w:rsidRPr="007E40FA">
        <w:rPr>
          <w:rFonts w:ascii="Times New Roman" w:eastAsiaTheme="minorHAnsi" w:hAnsi="Times New Roman"/>
          <w:i/>
          <w:sz w:val="24"/>
          <w:szCs w:val="24"/>
          <w:highlight w:val="yellow"/>
        </w:rPr>
        <w:t>Setup</w:t>
      </w:r>
      <w:r w:rsidRPr="007E40FA">
        <w:rPr>
          <w:rFonts w:ascii="Times New Roman" w:eastAsiaTheme="minorHAnsi" w:hAnsi="Times New Roman"/>
          <w:sz w:val="24"/>
          <w:szCs w:val="24"/>
          <w:highlight w:val="yellow"/>
        </w:rPr>
        <w:t xml:space="preserve"> tab. To initialize the FITC channel, select </w:t>
      </w:r>
      <w:proofErr w:type="spellStart"/>
      <w:r w:rsidRPr="007E40FA">
        <w:rPr>
          <w:rFonts w:ascii="Times New Roman" w:eastAsiaTheme="minorHAnsi" w:hAnsi="Times New Roman"/>
          <w:i/>
          <w:sz w:val="24"/>
          <w:szCs w:val="24"/>
          <w:highlight w:val="yellow"/>
        </w:rPr>
        <w:t>CellSearch</w:t>
      </w:r>
      <w:proofErr w:type="spellEnd"/>
      <w:r w:rsidRPr="007E40FA">
        <w:rPr>
          <w:rFonts w:ascii="Times New Roman" w:eastAsiaTheme="minorHAnsi" w:hAnsi="Times New Roman"/>
          <w:i/>
          <w:sz w:val="24"/>
          <w:szCs w:val="24"/>
          <w:highlight w:val="yellow"/>
        </w:rPr>
        <w:t xml:space="preserve"> CTC</w:t>
      </w:r>
      <w:r w:rsidRPr="007E40FA">
        <w:rPr>
          <w:rFonts w:ascii="Times New Roman" w:eastAsiaTheme="minorHAnsi" w:hAnsi="Times New Roman"/>
          <w:sz w:val="24"/>
          <w:szCs w:val="24"/>
          <w:highlight w:val="yellow"/>
        </w:rPr>
        <w:t xml:space="preserve"> as the </w:t>
      </w:r>
      <w:r w:rsidRPr="007E40FA">
        <w:rPr>
          <w:rFonts w:ascii="Times New Roman" w:eastAsiaTheme="minorHAnsi" w:hAnsi="Times New Roman"/>
          <w:i/>
          <w:sz w:val="24"/>
          <w:szCs w:val="24"/>
          <w:highlight w:val="yellow"/>
        </w:rPr>
        <w:t>Kit ID</w:t>
      </w:r>
      <w:r w:rsidRPr="007E40FA">
        <w:rPr>
          <w:rFonts w:ascii="Times New Roman" w:eastAsiaTheme="minorHAnsi" w:hAnsi="Times New Roman"/>
          <w:sz w:val="24"/>
          <w:szCs w:val="24"/>
          <w:highlight w:val="yellow"/>
        </w:rPr>
        <w:t xml:space="preserve"> under the </w:t>
      </w:r>
      <w:r w:rsidRPr="007E40FA">
        <w:rPr>
          <w:rFonts w:ascii="Times New Roman" w:eastAsiaTheme="minorHAnsi" w:hAnsi="Times New Roman"/>
          <w:i/>
          <w:sz w:val="24"/>
          <w:szCs w:val="24"/>
          <w:highlight w:val="yellow"/>
        </w:rPr>
        <w:t>Test Protocols</w:t>
      </w:r>
      <w:r w:rsidR="0029193C" w:rsidRPr="007E40FA">
        <w:rPr>
          <w:rFonts w:ascii="Times New Roman" w:eastAsiaTheme="minorHAnsi" w:hAnsi="Times New Roman"/>
          <w:sz w:val="24"/>
          <w:szCs w:val="24"/>
          <w:highlight w:val="yellow"/>
        </w:rPr>
        <w:t xml:space="preserve"> section. From this</w:t>
      </w:r>
      <w:r w:rsidRPr="007E40FA">
        <w:rPr>
          <w:rFonts w:ascii="Times New Roman" w:eastAsiaTheme="minorHAnsi" w:hAnsi="Times New Roman"/>
          <w:sz w:val="24"/>
          <w:szCs w:val="24"/>
          <w:highlight w:val="yellow"/>
        </w:rPr>
        <w:t xml:space="preserve"> menu, select </w:t>
      </w:r>
      <w:r w:rsidRPr="007E40FA">
        <w:rPr>
          <w:rFonts w:ascii="Times New Roman" w:eastAsiaTheme="minorHAnsi" w:hAnsi="Times New Roman"/>
          <w:i/>
          <w:sz w:val="24"/>
          <w:szCs w:val="24"/>
          <w:highlight w:val="yellow"/>
        </w:rPr>
        <w:t>CTC Research</w:t>
      </w:r>
      <w:r w:rsidR="0029193C"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click the </w:t>
      </w:r>
      <w:r w:rsidRPr="007E40FA">
        <w:rPr>
          <w:rFonts w:ascii="Times New Roman" w:eastAsiaTheme="minorHAnsi" w:hAnsi="Times New Roman"/>
          <w:i/>
          <w:sz w:val="24"/>
          <w:szCs w:val="24"/>
          <w:highlight w:val="yellow"/>
        </w:rPr>
        <w:t>Edit</w:t>
      </w:r>
      <w:r w:rsidR="0029193C" w:rsidRPr="007E40FA">
        <w:rPr>
          <w:rFonts w:ascii="Times New Roman" w:eastAsiaTheme="minorHAnsi" w:hAnsi="Times New Roman"/>
          <w:sz w:val="24"/>
          <w:szCs w:val="24"/>
          <w:highlight w:val="yellow"/>
        </w:rPr>
        <w:t xml:space="preserve"> button and s</w:t>
      </w:r>
      <w:r w:rsidRPr="007E40FA">
        <w:rPr>
          <w:rFonts w:ascii="Times New Roman" w:eastAsiaTheme="minorHAnsi" w:hAnsi="Times New Roman"/>
          <w:sz w:val="24"/>
          <w:szCs w:val="24"/>
          <w:highlight w:val="yellow"/>
        </w:rPr>
        <w:t>et the exposure time as desired.</w:t>
      </w:r>
      <w:r w:rsidRPr="007E40FA">
        <w:rPr>
          <w:rFonts w:ascii="Times New Roman" w:eastAsiaTheme="minorHAnsi" w:hAnsi="Times New Roman"/>
          <w:sz w:val="24"/>
          <w:szCs w:val="24"/>
        </w:rPr>
        <w:t xml:space="preserve"> It is recommended that an exposure time of 1.0sec not be exceeded when using the </w:t>
      </w:r>
      <w:r w:rsidR="004C0272" w:rsidRPr="007E40FA">
        <w:rPr>
          <w:rFonts w:ascii="Times New Roman" w:eastAsiaTheme="minorHAnsi" w:hAnsi="Times New Roman"/>
          <w:sz w:val="24"/>
          <w:szCs w:val="24"/>
        </w:rPr>
        <w:t>CSS</w:t>
      </w:r>
      <w:r w:rsidRPr="007E40FA">
        <w:rPr>
          <w:rFonts w:ascii="Times New Roman" w:eastAsiaTheme="minorHAnsi" w:hAnsi="Times New Roman"/>
          <w:sz w:val="24"/>
          <w:szCs w:val="24"/>
        </w:rPr>
        <w:t xml:space="preserve"> CTC kit as this can increase bleed</w:t>
      </w:r>
      <w:r w:rsidR="00BC680E" w:rsidRPr="007E40FA">
        <w:rPr>
          <w:rFonts w:ascii="Times New Roman" w:eastAsiaTheme="minorHAnsi" w:hAnsi="Times New Roman"/>
          <w:sz w:val="24"/>
          <w:szCs w:val="24"/>
        </w:rPr>
        <w:t>-</w:t>
      </w:r>
      <w:r w:rsidRPr="007E40FA">
        <w:rPr>
          <w:rFonts w:ascii="Times New Roman" w:eastAsiaTheme="minorHAnsi" w:hAnsi="Times New Roman"/>
          <w:sz w:val="24"/>
          <w:szCs w:val="24"/>
        </w:rPr>
        <w:t>through into other fluorescent channels utilized for CTC identification.</w:t>
      </w:r>
    </w:p>
    <w:p w:rsidR="006975D9" w:rsidRPr="007E40FA" w:rsidRDefault="006975D9" w:rsidP="0053484E">
      <w:pPr>
        <w:spacing w:after="0" w:line="240" w:lineRule="auto"/>
        <w:jc w:val="both"/>
        <w:rPr>
          <w:rFonts w:ascii="Times New Roman" w:hAnsi="Times New Roman"/>
          <w:sz w:val="24"/>
          <w:szCs w:val="24"/>
          <w:u w:val="single"/>
        </w:rPr>
      </w:pPr>
    </w:p>
    <w:p w:rsidR="00606B83" w:rsidRPr="007E40FA" w:rsidRDefault="00606B83" w:rsidP="0053484E">
      <w:pPr>
        <w:spacing w:after="0" w:line="240" w:lineRule="auto"/>
        <w:jc w:val="both"/>
        <w:rPr>
          <w:rFonts w:ascii="Times New Roman" w:hAnsi="Times New Roman"/>
          <w:b/>
          <w:sz w:val="24"/>
          <w:szCs w:val="24"/>
          <w:u w:val="single"/>
        </w:rPr>
      </w:pPr>
      <w:r w:rsidRPr="007E40FA">
        <w:rPr>
          <w:rFonts w:ascii="Times New Roman" w:hAnsi="Times New Roman"/>
          <w:b/>
          <w:sz w:val="24"/>
          <w:szCs w:val="24"/>
          <w:u w:val="single"/>
        </w:rPr>
        <w:t xml:space="preserve">Adaptation of the </w:t>
      </w:r>
      <w:r w:rsidR="0029193C" w:rsidRPr="007E40FA">
        <w:rPr>
          <w:rFonts w:ascii="Times New Roman" w:hAnsi="Times New Roman"/>
          <w:b/>
          <w:sz w:val="24"/>
          <w:szCs w:val="24"/>
          <w:u w:val="single"/>
        </w:rPr>
        <w:t xml:space="preserve">Standard </w:t>
      </w:r>
      <w:r w:rsidR="004C0272" w:rsidRPr="007E40FA">
        <w:rPr>
          <w:rFonts w:ascii="Times New Roman" w:hAnsi="Times New Roman"/>
          <w:b/>
          <w:sz w:val="24"/>
          <w:szCs w:val="24"/>
          <w:u w:val="single"/>
        </w:rPr>
        <w:t>CSS</w:t>
      </w:r>
      <w:r w:rsidR="00DD758E" w:rsidRPr="007E40FA">
        <w:rPr>
          <w:rFonts w:ascii="Times New Roman" w:hAnsi="Times New Roman"/>
          <w:b/>
          <w:sz w:val="24"/>
          <w:szCs w:val="24"/>
          <w:u w:val="single"/>
        </w:rPr>
        <w:t xml:space="preserve"> </w:t>
      </w:r>
      <w:r w:rsidR="0029193C" w:rsidRPr="007E40FA">
        <w:rPr>
          <w:rFonts w:ascii="Times New Roman" w:hAnsi="Times New Roman"/>
          <w:b/>
          <w:sz w:val="24"/>
          <w:szCs w:val="24"/>
          <w:u w:val="single"/>
        </w:rPr>
        <w:t>Protocol</w:t>
      </w:r>
      <w:r w:rsidR="00DD758E" w:rsidRPr="007E40FA">
        <w:rPr>
          <w:rFonts w:ascii="Times New Roman" w:hAnsi="Times New Roman"/>
          <w:b/>
          <w:sz w:val="24"/>
          <w:szCs w:val="24"/>
          <w:u w:val="single"/>
        </w:rPr>
        <w:t xml:space="preserve"> for use in </w:t>
      </w:r>
      <w:r w:rsidR="00E330A4" w:rsidRPr="007E40FA">
        <w:rPr>
          <w:rFonts w:ascii="Times New Roman" w:hAnsi="Times New Roman"/>
          <w:b/>
          <w:sz w:val="24"/>
          <w:szCs w:val="24"/>
          <w:u w:val="single"/>
        </w:rPr>
        <w:t xml:space="preserve">Pre-Clinical </w:t>
      </w:r>
      <w:r w:rsidRPr="007E40FA">
        <w:rPr>
          <w:rFonts w:ascii="Times New Roman" w:hAnsi="Times New Roman"/>
          <w:b/>
          <w:sz w:val="24"/>
          <w:szCs w:val="24"/>
          <w:u w:val="single"/>
        </w:rPr>
        <w:t>Mouse Model</w:t>
      </w:r>
      <w:r w:rsidR="00DD758E" w:rsidRPr="007E40FA">
        <w:rPr>
          <w:rFonts w:ascii="Times New Roman" w:hAnsi="Times New Roman"/>
          <w:b/>
          <w:sz w:val="24"/>
          <w:szCs w:val="24"/>
          <w:u w:val="single"/>
        </w:rPr>
        <w:t>s</w:t>
      </w:r>
      <w:r w:rsidRPr="007E40FA">
        <w:rPr>
          <w:rFonts w:ascii="Times New Roman" w:hAnsi="Times New Roman"/>
          <w:b/>
          <w:sz w:val="24"/>
          <w:szCs w:val="24"/>
          <w:u w:val="single"/>
        </w:rPr>
        <w:t xml:space="preserve"> </w:t>
      </w:r>
    </w:p>
    <w:p w:rsidR="00DC6570" w:rsidRPr="007E40FA" w:rsidRDefault="00DC6570" w:rsidP="0053484E">
      <w:pPr>
        <w:spacing w:after="0" w:line="240" w:lineRule="auto"/>
        <w:jc w:val="both"/>
        <w:rPr>
          <w:rFonts w:ascii="Times New Roman" w:hAnsi="Times New Roman"/>
          <w:i/>
          <w:sz w:val="24"/>
          <w:szCs w:val="24"/>
        </w:rPr>
      </w:pPr>
      <w:r w:rsidRPr="007E40FA">
        <w:rPr>
          <w:rFonts w:ascii="Times New Roman" w:hAnsi="Times New Roman"/>
          <w:i/>
          <w:sz w:val="24"/>
          <w:szCs w:val="24"/>
        </w:rPr>
        <w:t xml:space="preserve">**Adapted from </w:t>
      </w:r>
      <w:proofErr w:type="spellStart"/>
      <w:r w:rsidRPr="007E40FA">
        <w:rPr>
          <w:rFonts w:ascii="Times New Roman" w:hAnsi="Times New Roman"/>
          <w:i/>
          <w:sz w:val="24"/>
          <w:szCs w:val="24"/>
        </w:rPr>
        <w:t>Veridex</w:t>
      </w:r>
      <w:proofErr w:type="spellEnd"/>
      <w:r w:rsidR="00BE067D" w:rsidRPr="007E40FA">
        <w:rPr>
          <w:rFonts w:ascii="Times New Roman" w:hAnsi="Times New Roman"/>
          <w:i/>
          <w:sz w:val="24"/>
          <w:szCs w:val="24"/>
        </w:rPr>
        <w:t xml:space="preserve"> Mouse/Rat </w:t>
      </w:r>
      <w:proofErr w:type="spellStart"/>
      <w:r w:rsidR="00BE067D" w:rsidRPr="007E40FA">
        <w:rPr>
          <w:rFonts w:ascii="Times New Roman" w:hAnsi="Times New Roman"/>
          <w:i/>
          <w:sz w:val="24"/>
          <w:szCs w:val="24"/>
        </w:rPr>
        <w:t>CellCapture</w:t>
      </w:r>
      <w:proofErr w:type="spellEnd"/>
      <w:r w:rsidR="00BE067D" w:rsidRPr="007E40FA">
        <w:rPr>
          <w:rFonts w:ascii="Times New Roman" w:hAnsi="Times New Roman"/>
          <w:i/>
          <w:sz w:val="24"/>
          <w:szCs w:val="24"/>
        </w:rPr>
        <w:t xml:space="preserve"> Kit (no longer commercially available)</w:t>
      </w:r>
    </w:p>
    <w:p w:rsidR="00606B83" w:rsidRPr="007E40FA" w:rsidRDefault="00606B83" w:rsidP="0053484E">
      <w:pPr>
        <w:pStyle w:val="ListParagraph"/>
        <w:spacing w:after="0" w:line="240" w:lineRule="auto"/>
        <w:ind w:left="0"/>
        <w:jc w:val="both"/>
        <w:rPr>
          <w:rFonts w:ascii="Times New Roman" w:hAnsi="Times New Roman"/>
          <w:sz w:val="24"/>
          <w:szCs w:val="24"/>
          <w:u w:val="single"/>
        </w:rPr>
      </w:pPr>
    </w:p>
    <w:p w:rsidR="006975D9" w:rsidRPr="00E429F0" w:rsidRDefault="005629D8" w:rsidP="0053484E">
      <w:pPr>
        <w:pStyle w:val="ListParagraph"/>
        <w:numPr>
          <w:ilvl w:val="0"/>
          <w:numId w:val="7"/>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 xml:space="preserve">Mouse </w:t>
      </w:r>
      <w:r w:rsidR="006975D9" w:rsidRPr="007E40FA">
        <w:rPr>
          <w:rFonts w:ascii="Times New Roman" w:eastAsiaTheme="minorHAnsi" w:hAnsi="Times New Roman"/>
          <w:b/>
          <w:sz w:val="24"/>
          <w:szCs w:val="24"/>
        </w:rPr>
        <w:t xml:space="preserve">Blood Collection </w:t>
      </w:r>
      <w:r w:rsidRPr="007E40FA">
        <w:rPr>
          <w:rFonts w:ascii="Times New Roman" w:eastAsiaTheme="minorHAnsi" w:hAnsi="Times New Roman"/>
          <w:b/>
          <w:sz w:val="24"/>
          <w:szCs w:val="24"/>
        </w:rPr>
        <w:t>and Storage</w:t>
      </w:r>
    </w:p>
    <w:p w:rsidR="0020506B" w:rsidRPr="009F3ABD" w:rsidRDefault="0020506B"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9F3ABD">
        <w:rPr>
          <w:rFonts w:ascii="Times New Roman" w:hAnsi="Times New Roman"/>
          <w:sz w:val="24"/>
          <w:szCs w:val="24"/>
        </w:rPr>
        <w:t xml:space="preserve">Prior to blood collection, run ~30µl of 0.5M EDTA back and forth through a </w:t>
      </w:r>
      <w:r w:rsidR="00036BF0" w:rsidRPr="009F3ABD">
        <w:rPr>
          <w:rFonts w:ascii="Times New Roman" w:hAnsi="Times New Roman"/>
          <w:sz w:val="24"/>
          <w:szCs w:val="24"/>
        </w:rPr>
        <w:t>22</w:t>
      </w:r>
      <w:r w:rsidRPr="009F3ABD">
        <w:rPr>
          <w:rFonts w:ascii="Times New Roman" w:hAnsi="Times New Roman"/>
          <w:sz w:val="24"/>
          <w:szCs w:val="24"/>
        </w:rPr>
        <w:t xml:space="preserve"> gauge needle, leaving a small amount of EDTA in the </w:t>
      </w:r>
      <w:r w:rsidR="00036BF0" w:rsidRPr="009F3ABD">
        <w:rPr>
          <w:rFonts w:ascii="Times New Roman" w:hAnsi="Times New Roman"/>
          <w:sz w:val="24"/>
          <w:szCs w:val="24"/>
        </w:rPr>
        <w:t>hub</w:t>
      </w:r>
      <w:r w:rsidRPr="009F3ABD">
        <w:rPr>
          <w:rFonts w:ascii="Times New Roman" w:hAnsi="Times New Roman"/>
          <w:sz w:val="24"/>
          <w:szCs w:val="24"/>
        </w:rPr>
        <w:t>.</w:t>
      </w:r>
    </w:p>
    <w:p w:rsidR="0020506B" w:rsidRPr="007E40FA" w:rsidRDefault="0020506B" w:rsidP="0053484E">
      <w:pPr>
        <w:pStyle w:val="ListParagraph"/>
        <w:spacing w:after="0" w:line="240" w:lineRule="auto"/>
        <w:ind w:left="0"/>
        <w:jc w:val="both"/>
        <w:rPr>
          <w:rFonts w:ascii="Times New Roman" w:eastAsiaTheme="minorHAnsi" w:hAnsi="Times New Roman"/>
          <w:sz w:val="24"/>
          <w:szCs w:val="24"/>
        </w:rPr>
      </w:pPr>
    </w:p>
    <w:p w:rsidR="0020506B" w:rsidRPr="007E40FA" w:rsidRDefault="005629D8"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Collect </w:t>
      </w:r>
      <w:r w:rsidR="00036BF0" w:rsidRPr="007E40FA">
        <w:rPr>
          <w:rFonts w:ascii="Times New Roman" w:eastAsiaTheme="minorHAnsi" w:hAnsi="Times New Roman"/>
          <w:sz w:val="24"/>
          <w:szCs w:val="24"/>
          <w:highlight w:val="yellow"/>
        </w:rPr>
        <w:t xml:space="preserve">a minimum of </w:t>
      </w:r>
      <w:r w:rsidRPr="007E40FA">
        <w:rPr>
          <w:rFonts w:ascii="Times New Roman" w:eastAsiaTheme="minorHAnsi" w:hAnsi="Times New Roman"/>
          <w:sz w:val="24"/>
          <w:szCs w:val="24"/>
          <w:highlight w:val="yellow"/>
        </w:rPr>
        <w:t xml:space="preserve">50 µl of mouse blood </w:t>
      </w:r>
      <w:r w:rsidR="00D63122" w:rsidRPr="007E40FA">
        <w:rPr>
          <w:rFonts w:ascii="Times New Roman" w:eastAsiaTheme="minorHAnsi" w:hAnsi="Times New Roman"/>
          <w:sz w:val="24"/>
          <w:szCs w:val="24"/>
          <w:highlight w:val="yellow"/>
        </w:rPr>
        <w:t xml:space="preserve">from mice previously injected with human tumor cells via </w:t>
      </w:r>
      <w:proofErr w:type="spellStart"/>
      <w:r w:rsidR="00D63122" w:rsidRPr="007E40FA">
        <w:rPr>
          <w:rFonts w:ascii="Times New Roman" w:eastAsiaTheme="minorHAnsi" w:hAnsi="Times New Roman"/>
          <w:sz w:val="24"/>
          <w:szCs w:val="24"/>
          <w:highlight w:val="yellow"/>
        </w:rPr>
        <w:t>orthotopic</w:t>
      </w:r>
      <w:proofErr w:type="spellEnd"/>
      <w:r w:rsidR="00D63122" w:rsidRPr="007E40FA">
        <w:rPr>
          <w:rFonts w:ascii="Times New Roman" w:eastAsiaTheme="minorHAnsi" w:hAnsi="Times New Roman"/>
          <w:sz w:val="24"/>
          <w:szCs w:val="24"/>
          <w:highlight w:val="yellow"/>
        </w:rPr>
        <w:t xml:space="preserve">, tail vein, or </w:t>
      </w:r>
      <w:proofErr w:type="spellStart"/>
      <w:r w:rsidR="00D63122" w:rsidRPr="007E40FA">
        <w:rPr>
          <w:rFonts w:ascii="Times New Roman" w:eastAsiaTheme="minorHAnsi" w:hAnsi="Times New Roman"/>
          <w:sz w:val="24"/>
          <w:szCs w:val="24"/>
          <w:highlight w:val="yellow"/>
        </w:rPr>
        <w:t>intracardiac</w:t>
      </w:r>
      <w:proofErr w:type="spellEnd"/>
      <w:r w:rsidR="00D63122" w:rsidRPr="007E40FA">
        <w:rPr>
          <w:rFonts w:ascii="Times New Roman" w:eastAsiaTheme="minorHAnsi" w:hAnsi="Times New Roman"/>
          <w:sz w:val="24"/>
          <w:szCs w:val="24"/>
          <w:highlight w:val="yellow"/>
        </w:rPr>
        <w:t xml:space="preserve"> routes. Collect blood from the </w:t>
      </w:r>
      <w:r w:rsidR="00BC680E" w:rsidRPr="007E40FA">
        <w:rPr>
          <w:rFonts w:ascii="Times New Roman" w:eastAsiaTheme="minorHAnsi" w:hAnsi="Times New Roman"/>
          <w:sz w:val="24"/>
          <w:szCs w:val="24"/>
          <w:highlight w:val="yellow"/>
        </w:rPr>
        <w:t>saphenous vein</w:t>
      </w:r>
      <w:r w:rsidR="00D63122" w:rsidRPr="007E40FA">
        <w:rPr>
          <w:rFonts w:ascii="Times New Roman" w:eastAsiaTheme="minorHAnsi" w:hAnsi="Times New Roman"/>
          <w:sz w:val="24"/>
          <w:szCs w:val="24"/>
          <w:highlight w:val="yellow"/>
        </w:rPr>
        <w:t xml:space="preserve"> (for serial CTC analysis) or by</w:t>
      </w:r>
      <w:r w:rsidR="00BC680E" w:rsidRPr="007E40FA">
        <w:rPr>
          <w:rFonts w:ascii="Times New Roman" w:eastAsiaTheme="minorHAnsi" w:hAnsi="Times New Roman"/>
          <w:sz w:val="24"/>
          <w:szCs w:val="24"/>
          <w:highlight w:val="yellow"/>
        </w:rPr>
        <w:t xml:space="preserve"> cardiac puncture</w:t>
      </w:r>
      <w:r w:rsidR="00D63122" w:rsidRPr="007E40FA">
        <w:rPr>
          <w:rFonts w:ascii="Times New Roman" w:eastAsiaTheme="minorHAnsi" w:hAnsi="Times New Roman"/>
          <w:sz w:val="24"/>
          <w:szCs w:val="24"/>
          <w:highlight w:val="yellow"/>
        </w:rPr>
        <w:t xml:space="preserve"> (for terminal CTC analysis). R</w:t>
      </w:r>
      <w:r w:rsidR="0020506B" w:rsidRPr="007E40FA">
        <w:rPr>
          <w:rFonts w:ascii="Times New Roman" w:eastAsiaTheme="minorHAnsi" w:hAnsi="Times New Roman"/>
          <w:sz w:val="24"/>
          <w:szCs w:val="24"/>
          <w:highlight w:val="yellow"/>
        </w:rPr>
        <w:t xml:space="preserve">emove needle and dispense blood </w:t>
      </w:r>
      <w:r w:rsidRPr="007E40FA">
        <w:rPr>
          <w:rFonts w:ascii="Times New Roman" w:eastAsiaTheme="minorHAnsi" w:hAnsi="Times New Roman"/>
          <w:sz w:val="24"/>
          <w:szCs w:val="24"/>
          <w:highlight w:val="yellow"/>
        </w:rPr>
        <w:t xml:space="preserve">into a </w:t>
      </w:r>
      <w:r w:rsidR="00201C52" w:rsidRPr="007E40FA">
        <w:rPr>
          <w:rFonts w:ascii="Times New Roman" w:eastAsiaTheme="minorHAnsi" w:hAnsi="Times New Roman"/>
          <w:sz w:val="24"/>
          <w:szCs w:val="24"/>
          <w:highlight w:val="yellow"/>
        </w:rPr>
        <w:t xml:space="preserve">1 ml EDTA </w:t>
      </w:r>
      <w:proofErr w:type="spellStart"/>
      <w:r w:rsidR="00201C52" w:rsidRPr="007E40FA">
        <w:rPr>
          <w:rFonts w:ascii="Times New Roman" w:eastAsiaTheme="minorHAnsi" w:hAnsi="Times New Roman"/>
          <w:sz w:val="24"/>
          <w:szCs w:val="24"/>
          <w:highlight w:val="yellow"/>
        </w:rPr>
        <w:t>microtainer</w:t>
      </w:r>
      <w:proofErr w:type="spellEnd"/>
      <w:r w:rsidRPr="007E40FA">
        <w:rPr>
          <w:rFonts w:ascii="Times New Roman" w:eastAsiaTheme="minorHAnsi" w:hAnsi="Times New Roman"/>
          <w:sz w:val="24"/>
          <w:szCs w:val="24"/>
          <w:highlight w:val="yellow"/>
        </w:rPr>
        <w:t xml:space="preserve"> blood collection tube. </w:t>
      </w:r>
      <w:r w:rsidR="0020506B" w:rsidRPr="007E40FA">
        <w:rPr>
          <w:rFonts w:ascii="Times New Roman" w:eastAsiaTheme="minorHAnsi" w:hAnsi="Times New Roman"/>
          <w:sz w:val="24"/>
          <w:szCs w:val="24"/>
          <w:highlight w:val="yellow"/>
        </w:rPr>
        <w:t>Mix by inversion or gently flick tube to prevent blood from clotting.</w:t>
      </w:r>
      <w:r w:rsidR="0020506B" w:rsidRPr="007E40FA">
        <w:rPr>
          <w:rFonts w:ascii="Times New Roman" w:eastAsiaTheme="minorHAnsi" w:hAnsi="Times New Roman"/>
          <w:sz w:val="24"/>
          <w:szCs w:val="24"/>
        </w:rPr>
        <w:t xml:space="preserve"> Blood may be processed immediately or stored </w:t>
      </w:r>
      <w:r w:rsidR="002D38C3" w:rsidRPr="007E40FA">
        <w:rPr>
          <w:rFonts w:ascii="Times New Roman" w:eastAsiaTheme="minorHAnsi" w:hAnsi="Times New Roman"/>
          <w:sz w:val="24"/>
          <w:szCs w:val="24"/>
        </w:rPr>
        <w:t xml:space="preserve">at room temperature </w:t>
      </w:r>
      <w:r w:rsidR="0020506B" w:rsidRPr="007E40FA">
        <w:rPr>
          <w:rFonts w:ascii="Times New Roman" w:eastAsiaTheme="minorHAnsi" w:hAnsi="Times New Roman"/>
          <w:sz w:val="24"/>
          <w:szCs w:val="24"/>
        </w:rPr>
        <w:t xml:space="preserve">for up to </w:t>
      </w:r>
      <w:r w:rsidR="00DF5DE3" w:rsidRPr="007E40FA">
        <w:rPr>
          <w:rFonts w:ascii="Times New Roman" w:eastAsiaTheme="minorHAnsi" w:hAnsi="Times New Roman"/>
          <w:sz w:val="24"/>
          <w:szCs w:val="24"/>
        </w:rPr>
        <w:t xml:space="preserve">48 </w:t>
      </w:r>
      <w:r w:rsidR="0020506B" w:rsidRPr="007E40FA">
        <w:rPr>
          <w:rFonts w:ascii="Times New Roman" w:eastAsiaTheme="minorHAnsi" w:hAnsi="Times New Roman"/>
          <w:sz w:val="24"/>
          <w:szCs w:val="24"/>
        </w:rPr>
        <w:t xml:space="preserve">hours following the addition of an equal volume of </w:t>
      </w:r>
      <w:proofErr w:type="spellStart"/>
      <w:r w:rsidR="0020506B" w:rsidRPr="007E40FA">
        <w:rPr>
          <w:rFonts w:ascii="Times New Roman" w:eastAsiaTheme="minorHAnsi" w:hAnsi="Times New Roman"/>
          <w:sz w:val="24"/>
          <w:szCs w:val="24"/>
        </w:rPr>
        <w:t>CytoChex</w:t>
      </w:r>
      <w:proofErr w:type="spellEnd"/>
      <w:r w:rsidR="0020506B" w:rsidRPr="007E40FA">
        <w:rPr>
          <w:rFonts w:ascii="Times New Roman" w:eastAsiaTheme="minorHAnsi" w:hAnsi="Times New Roman"/>
          <w:sz w:val="24"/>
          <w:szCs w:val="24"/>
        </w:rPr>
        <w:t xml:space="preserve"> cellular preservative.</w:t>
      </w:r>
    </w:p>
    <w:p w:rsidR="0020506B" w:rsidRPr="007E40FA" w:rsidRDefault="0020506B" w:rsidP="0053484E">
      <w:pPr>
        <w:pStyle w:val="ListParagraph"/>
        <w:spacing w:after="0" w:line="240" w:lineRule="auto"/>
        <w:ind w:left="0"/>
        <w:jc w:val="both"/>
        <w:rPr>
          <w:rFonts w:ascii="Times New Roman" w:eastAsiaTheme="minorHAnsi" w:hAnsi="Times New Roman"/>
          <w:sz w:val="24"/>
          <w:szCs w:val="24"/>
        </w:rPr>
      </w:pPr>
    </w:p>
    <w:p w:rsidR="0020506B" w:rsidRPr="007E40FA" w:rsidRDefault="00237481" w:rsidP="0053484E">
      <w:pPr>
        <w:pStyle w:val="ListParagraph"/>
        <w:numPr>
          <w:ilvl w:val="0"/>
          <w:numId w:val="7"/>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CTC Enrichment</w:t>
      </w:r>
    </w:p>
    <w:p w:rsidR="00237481" w:rsidRPr="007E40FA" w:rsidRDefault="00237481" w:rsidP="0053484E">
      <w:pPr>
        <w:spacing w:after="0" w:line="240" w:lineRule="auto"/>
        <w:jc w:val="both"/>
        <w:rPr>
          <w:rFonts w:ascii="Times New Roman" w:eastAsiaTheme="minorHAnsi" w:hAnsi="Times New Roman"/>
          <w:sz w:val="24"/>
          <w:szCs w:val="24"/>
        </w:rPr>
      </w:pPr>
    </w:p>
    <w:p w:rsidR="00FB75F9" w:rsidRPr="007E40FA" w:rsidRDefault="00201C52"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Remove </w:t>
      </w:r>
      <w:r w:rsidR="004C0272" w:rsidRPr="007E40FA">
        <w:rPr>
          <w:rFonts w:ascii="Times New Roman" w:eastAsiaTheme="minorHAnsi" w:hAnsi="Times New Roman"/>
          <w:sz w:val="24"/>
          <w:szCs w:val="24"/>
        </w:rPr>
        <w:t>CSS</w:t>
      </w:r>
      <w:r w:rsidRPr="007E40FA">
        <w:rPr>
          <w:rFonts w:ascii="Times New Roman" w:eastAsiaTheme="minorHAnsi" w:hAnsi="Times New Roman"/>
          <w:sz w:val="24"/>
          <w:szCs w:val="24"/>
        </w:rPr>
        <w:t xml:space="preserve"> reagents from the fridge and allow them to warm to room temperature before using.</w:t>
      </w:r>
    </w:p>
    <w:p w:rsidR="00DC6570" w:rsidRPr="007E40FA" w:rsidRDefault="00DC6570" w:rsidP="0053484E">
      <w:pPr>
        <w:pStyle w:val="ListParagraph"/>
        <w:spacing w:after="0" w:line="240" w:lineRule="auto"/>
        <w:ind w:left="0"/>
        <w:jc w:val="both"/>
        <w:rPr>
          <w:rFonts w:ascii="Times New Roman" w:eastAsiaTheme="minorHAnsi" w:hAnsi="Times New Roman"/>
          <w:sz w:val="24"/>
          <w:szCs w:val="24"/>
        </w:rPr>
      </w:pPr>
    </w:p>
    <w:p w:rsidR="00DC6570" w:rsidRPr="007E40FA" w:rsidRDefault="00DC6570"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Transfer the equiv</w:t>
      </w:r>
      <w:r w:rsidR="00036BF0" w:rsidRPr="007E40FA">
        <w:rPr>
          <w:rFonts w:ascii="Times New Roman" w:eastAsiaTheme="minorHAnsi" w:hAnsi="Times New Roman"/>
          <w:sz w:val="24"/>
          <w:szCs w:val="24"/>
          <w:highlight w:val="yellow"/>
        </w:rPr>
        <w:t xml:space="preserve">alent of 50 µl of whole blood </w:t>
      </w:r>
      <w:r w:rsidRPr="007E40FA">
        <w:rPr>
          <w:rFonts w:ascii="Times New Roman" w:eastAsiaTheme="minorHAnsi" w:hAnsi="Times New Roman"/>
          <w:sz w:val="24"/>
          <w:szCs w:val="24"/>
          <w:highlight w:val="yellow"/>
        </w:rPr>
        <w:t xml:space="preserve">to a 12x75 mm flow </w:t>
      </w:r>
      <w:proofErr w:type="spellStart"/>
      <w:r w:rsidRPr="007E40FA">
        <w:rPr>
          <w:rFonts w:ascii="Times New Roman" w:eastAsiaTheme="minorHAnsi" w:hAnsi="Times New Roman"/>
          <w:sz w:val="24"/>
          <w:szCs w:val="24"/>
          <w:highlight w:val="yellow"/>
        </w:rPr>
        <w:t>cytometry</w:t>
      </w:r>
      <w:proofErr w:type="spellEnd"/>
      <w:r w:rsidRPr="007E40FA">
        <w:rPr>
          <w:rFonts w:ascii="Times New Roman" w:eastAsiaTheme="minorHAnsi" w:hAnsi="Times New Roman"/>
          <w:sz w:val="24"/>
          <w:szCs w:val="24"/>
          <w:highlight w:val="yellow"/>
        </w:rPr>
        <w:t xml:space="preserve"> tube.</w:t>
      </w:r>
      <w:r w:rsidR="00637B50"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Add 500 µl of dilution buffer</w:t>
      </w:r>
      <w:r w:rsidR="00036BF0" w:rsidRPr="007E40FA">
        <w:rPr>
          <w:rFonts w:ascii="Times New Roman" w:eastAsiaTheme="minorHAnsi" w:hAnsi="Times New Roman"/>
          <w:sz w:val="24"/>
          <w:szCs w:val="24"/>
          <w:highlight w:val="yellow"/>
        </w:rPr>
        <w:t xml:space="preserve"> to each sample</w:t>
      </w:r>
      <w:r w:rsidRPr="007E40FA">
        <w:rPr>
          <w:rFonts w:ascii="Times New Roman" w:eastAsiaTheme="minorHAnsi" w:hAnsi="Times New Roman"/>
          <w:sz w:val="24"/>
          <w:szCs w:val="24"/>
          <w:highlight w:val="yellow"/>
        </w:rPr>
        <w:t>, washing down any blood that remains on the sides of the tube.</w:t>
      </w:r>
      <w:r w:rsidR="009F6562" w:rsidRPr="007E40FA">
        <w:rPr>
          <w:rFonts w:ascii="Times New Roman" w:eastAsiaTheme="minorHAnsi" w:hAnsi="Times New Roman"/>
          <w:sz w:val="24"/>
          <w:szCs w:val="24"/>
          <w:highlight w:val="yellow"/>
        </w:rPr>
        <w:t xml:space="preserve"> </w:t>
      </w:r>
      <w:r w:rsidR="009F6562" w:rsidRPr="009F3ABD">
        <w:rPr>
          <w:rFonts w:ascii="Times New Roman" w:eastAsiaTheme="minorHAnsi" w:hAnsi="Times New Roman"/>
          <w:sz w:val="24"/>
          <w:szCs w:val="24"/>
        </w:rPr>
        <w:t xml:space="preserve">If necessary, </w:t>
      </w:r>
      <w:r w:rsidR="00BC680E" w:rsidRPr="009F3ABD">
        <w:rPr>
          <w:rFonts w:ascii="Times New Roman" w:eastAsiaTheme="minorHAnsi" w:hAnsi="Times New Roman"/>
          <w:sz w:val="24"/>
          <w:szCs w:val="24"/>
        </w:rPr>
        <w:t xml:space="preserve">a </w:t>
      </w:r>
      <w:r w:rsidR="009F6562" w:rsidRPr="009F3ABD">
        <w:rPr>
          <w:rFonts w:ascii="Times New Roman" w:eastAsiaTheme="minorHAnsi" w:hAnsi="Times New Roman"/>
          <w:sz w:val="24"/>
          <w:szCs w:val="24"/>
        </w:rPr>
        <w:t xml:space="preserve">short </w:t>
      </w:r>
      <w:r w:rsidR="00BC680E" w:rsidRPr="009F3ABD">
        <w:rPr>
          <w:rFonts w:ascii="Times New Roman" w:eastAsiaTheme="minorHAnsi" w:hAnsi="Times New Roman"/>
          <w:sz w:val="24"/>
          <w:szCs w:val="24"/>
        </w:rPr>
        <w:t xml:space="preserve">centrifuge </w:t>
      </w:r>
      <w:r w:rsidR="009F6562" w:rsidRPr="009F3ABD">
        <w:rPr>
          <w:rFonts w:ascii="Times New Roman" w:eastAsiaTheme="minorHAnsi" w:hAnsi="Times New Roman"/>
          <w:sz w:val="24"/>
          <w:szCs w:val="24"/>
        </w:rPr>
        <w:t>spin</w:t>
      </w:r>
      <w:r w:rsidR="00BC680E" w:rsidRPr="009F3ABD">
        <w:rPr>
          <w:rFonts w:ascii="Times New Roman" w:eastAsiaTheme="minorHAnsi" w:hAnsi="Times New Roman"/>
          <w:sz w:val="24"/>
          <w:szCs w:val="24"/>
        </w:rPr>
        <w:t xml:space="preserve"> can be used</w:t>
      </w:r>
      <w:r w:rsidR="009F6562" w:rsidRPr="009F3ABD">
        <w:rPr>
          <w:rFonts w:ascii="Times New Roman" w:eastAsiaTheme="minorHAnsi" w:hAnsi="Times New Roman"/>
          <w:sz w:val="24"/>
          <w:szCs w:val="24"/>
        </w:rPr>
        <w:t xml:space="preserve"> to collect any remaining blood.</w:t>
      </w:r>
    </w:p>
    <w:p w:rsidR="00DC6570" w:rsidRPr="007E40FA" w:rsidRDefault="00DC6570" w:rsidP="0053484E">
      <w:pPr>
        <w:pStyle w:val="ListParagraph"/>
        <w:spacing w:after="0" w:line="240" w:lineRule="auto"/>
        <w:ind w:left="0"/>
        <w:jc w:val="both"/>
        <w:rPr>
          <w:rFonts w:ascii="Times New Roman" w:eastAsiaTheme="minorHAnsi" w:hAnsi="Times New Roman"/>
          <w:sz w:val="24"/>
          <w:szCs w:val="24"/>
        </w:rPr>
      </w:pPr>
    </w:p>
    <w:p w:rsidR="00637B50" w:rsidRPr="007E40FA" w:rsidRDefault="00DC6570"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Gently vortex the anti-</w:t>
      </w:r>
      <w:proofErr w:type="spellStart"/>
      <w:r w:rsidRPr="007E40FA">
        <w:rPr>
          <w:rFonts w:ascii="Times New Roman" w:eastAsiaTheme="minorHAnsi" w:hAnsi="Times New Roman"/>
          <w:sz w:val="24"/>
          <w:szCs w:val="24"/>
          <w:highlight w:val="yellow"/>
        </w:rPr>
        <w:t>EpCAM</w:t>
      </w:r>
      <w:proofErr w:type="spellEnd"/>
      <w:r w:rsidRPr="007E40FA">
        <w:rPr>
          <w:rFonts w:ascii="Times New Roman" w:eastAsiaTheme="minorHAnsi" w:hAnsi="Times New Roman"/>
          <w:sz w:val="24"/>
          <w:szCs w:val="24"/>
          <w:highlight w:val="yellow"/>
        </w:rPr>
        <w:t xml:space="preserve"> </w:t>
      </w:r>
      <w:proofErr w:type="spellStart"/>
      <w:r w:rsidRPr="007E40FA">
        <w:rPr>
          <w:rFonts w:ascii="Times New Roman" w:eastAsiaTheme="minorHAnsi" w:hAnsi="Times New Roman"/>
          <w:sz w:val="24"/>
          <w:szCs w:val="24"/>
          <w:highlight w:val="yellow"/>
        </w:rPr>
        <w:t>ferrofluid</w:t>
      </w:r>
      <w:proofErr w:type="spellEnd"/>
      <w:r w:rsidRPr="007E40FA">
        <w:rPr>
          <w:rFonts w:ascii="Times New Roman" w:eastAsiaTheme="minorHAnsi" w:hAnsi="Times New Roman"/>
          <w:sz w:val="24"/>
          <w:szCs w:val="24"/>
          <w:highlight w:val="yellow"/>
        </w:rPr>
        <w:t xml:space="preserve"> and add 25 µl to each sample</w:t>
      </w:r>
      <w:r w:rsidR="00BC680E"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by placing the tip of the pipette directly into the sample.</w:t>
      </w:r>
      <w:r w:rsidR="00637B50"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Add 25 µl of Capture Enhancement reagent </w:t>
      </w:r>
      <w:r w:rsidR="00BE067D" w:rsidRPr="007E40FA">
        <w:rPr>
          <w:rFonts w:ascii="Times New Roman" w:eastAsiaTheme="minorHAnsi" w:hAnsi="Times New Roman"/>
          <w:sz w:val="24"/>
          <w:szCs w:val="24"/>
          <w:highlight w:val="yellow"/>
        </w:rPr>
        <w:t>and vortex gently to mix. Incubate samples at room temperature for 15 min.</w:t>
      </w:r>
      <w:r w:rsidR="00637B50" w:rsidRPr="007E40FA">
        <w:rPr>
          <w:rFonts w:ascii="Times New Roman" w:eastAsiaTheme="minorHAnsi" w:hAnsi="Times New Roman"/>
          <w:sz w:val="24"/>
          <w:szCs w:val="24"/>
        </w:rPr>
        <w:t xml:space="preserve"> </w:t>
      </w:r>
    </w:p>
    <w:p w:rsidR="00637B50" w:rsidRPr="007E40FA" w:rsidRDefault="00637B50" w:rsidP="0053484E">
      <w:pPr>
        <w:pStyle w:val="ListParagraph"/>
        <w:spacing w:after="0" w:line="240" w:lineRule="auto"/>
        <w:ind w:left="0"/>
        <w:jc w:val="both"/>
        <w:rPr>
          <w:rFonts w:ascii="Times New Roman" w:eastAsiaTheme="minorHAnsi" w:hAnsi="Times New Roman"/>
          <w:sz w:val="24"/>
          <w:szCs w:val="24"/>
        </w:rPr>
      </w:pPr>
    </w:p>
    <w:p w:rsidR="00FB75F9" w:rsidRPr="007E40FA" w:rsidRDefault="00BE067D"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Place sample tubes into the magnet and incubate for 10 min.</w:t>
      </w:r>
      <w:r w:rsidR="00637B50"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While the sample tubes are still in the magnet, use a glass pipette to carefully aspirate the </w:t>
      </w:r>
      <w:r w:rsidR="00B06B91" w:rsidRPr="007E40FA">
        <w:rPr>
          <w:rFonts w:ascii="Times New Roman" w:eastAsiaTheme="minorHAnsi" w:hAnsi="Times New Roman"/>
          <w:sz w:val="24"/>
          <w:szCs w:val="24"/>
          <w:highlight w:val="yellow"/>
        </w:rPr>
        <w:t>residual liquid</w:t>
      </w:r>
      <w:r w:rsidRPr="007E40FA">
        <w:rPr>
          <w:rFonts w:ascii="Times New Roman" w:eastAsiaTheme="minorHAnsi" w:hAnsi="Times New Roman"/>
          <w:sz w:val="24"/>
          <w:szCs w:val="24"/>
          <w:highlight w:val="yellow"/>
        </w:rPr>
        <w:t xml:space="preserve"> without touching the wall</w:t>
      </w:r>
      <w:r w:rsidR="00B06B91" w:rsidRPr="007E40FA">
        <w:rPr>
          <w:rFonts w:ascii="Times New Roman" w:eastAsiaTheme="minorHAnsi" w:hAnsi="Times New Roman"/>
          <w:sz w:val="24"/>
          <w:szCs w:val="24"/>
          <w:highlight w:val="yellow"/>
        </w:rPr>
        <w:t xml:space="preserve"> of the tube next to the magnet and discard.</w:t>
      </w:r>
    </w:p>
    <w:p w:rsidR="00990F17" w:rsidRPr="007E40FA" w:rsidRDefault="00990F17" w:rsidP="0053484E">
      <w:pPr>
        <w:pStyle w:val="ListParagraph"/>
        <w:spacing w:after="0" w:line="240" w:lineRule="auto"/>
        <w:ind w:left="0"/>
        <w:jc w:val="both"/>
        <w:rPr>
          <w:rFonts w:ascii="Times New Roman" w:eastAsiaTheme="minorHAnsi" w:hAnsi="Times New Roman"/>
          <w:b/>
          <w:sz w:val="24"/>
          <w:szCs w:val="24"/>
        </w:rPr>
      </w:pPr>
    </w:p>
    <w:p w:rsidR="00237481" w:rsidRPr="00E429F0" w:rsidRDefault="00237481" w:rsidP="0053484E">
      <w:pPr>
        <w:pStyle w:val="ListParagraph"/>
        <w:numPr>
          <w:ilvl w:val="0"/>
          <w:numId w:val="7"/>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CTC Staining</w:t>
      </w:r>
    </w:p>
    <w:p w:rsidR="000D081F" w:rsidRPr="007E40FA" w:rsidRDefault="000D081F"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 xml:space="preserve">Remove the sample tubes from the magnet and </w:t>
      </w:r>
      <w:proofErr w:type="spellStart"/>
      <w:r w:rsidRPr="007E40FA">
        <w:rPr>
          <w:rFonts w:ascii="Times New Roman" w:eastAsiaTheme="minorHAnsi" w:hAnsi="Times New Roman"/>
          <w:sz w:val="24"/>
          <w:szCs w:val="24"/>
          <w:highlight w:val="yellow"/>
        </w:rPr>
        <w:t>resuspend</w:t>
      </w:r>
      <w:proofErr w:type="spellEnd"/>
      <w:r w:rsidRPr="007E40FA">
        <w:rPr>
          <w:rFonts w:ascii="Times New Roman" w:eastAsiaTheme="minorHAnsi" w:hAnsi="Times New Roman"/>
          <w:sz w:val="24"/>
          <w:szCs w:val="24"/>
          <w:highlight w:val="yellow"/>
        </w:rPr>
        <w:t xml:space="preserve"> in 50 µl of Nucleic Acid Dye</w:t>
      </w:r>
      <w:r w:rsidR="00036BF0" w:rsidRPr="007E40FA">
        <w:rPr>
          <w:rFonts w:ascii="Times New Roman" w:eastAsiaTheme="minorHAnsi" w:hAnsi="Times New Roman"/>
          <w:sz w:val="24"/>
          <w:szCs w:val="24"/>
          <w:highlight w:val="yellow"/>
        </w:rPr>
        <w:t>, 50 µl of Staining Reagent, 1.5 µl of a</w:t>
      </w:r>
      <w:r w:rsidRPr="007E40FA">
        <w:rPr>
          <w:rFonts w:ascii="Times New Roman" w:eastAsiaTheme="minorHAnsi" w:hAnsi="Times New Roman"/>
          <w:sz w:val="24"/>
          <w:szCs w:val="24"/>
          <w:highlight w:val="yellow"/>
        </w:rPr>
        <w:t>nti-</w:t>
      </w:r>
      <w:r w:rsidR="00036BF0" w:rsidRPr="007E40FA">
        <w:rPr>
          <w:rFonts w:ascii="Times New Roman" w:eastAsiaTheme="minorHAnsi" w:hAnsi="Times New Roman"/>
          <w:sz w:val="24"/>
          <w:szCs w:val="24"/>
          <w:highlight w:val="yellow"/>
        </w:rPr>
        <w:t xml:space="preserve">mouse </w:t>
      </w:r>
      <w:r w:rsidRPr="007E40FA">
        <w:rPr>
          <w:rFonts w:ascii="Times New Roman" w:eastAsiaTheme="minorHAnsi" w:hAnsi="Times New Roman"/>
          <w:sz w:val="24"/>
          <w:szCs w:val="24"/>
          <w:highlight w:val="yellow"/>
        </w:rPr>
        <w:t>CD45-APC</w:t>
      </w:r>
      <w:r w:rsidR="00036BF0" w:rsidRPr="007E40FA">
        <w:rPr>
          <w:rFonts w:ascii="Times New Roman" w:eastAsiaTheme="minorHAnsi" w:hAnsi="Times New Roman"/>
          <w:sz w:val="24"/>
          <w:szCs w:val="24"/>
          <w:highlight w:val="yellow"/>
        </w:rPr>
        <w:t>, 5.0 µl of anti-human HLA-AlexaFluor488</w:t>
      </w:r>
      <w:r w:rsidRPr="007E40FA">
        <w:rPr>
          <w:rFonts w:ascii="Times New Roman" w:eastAsiaTheme="minorHAnsi" w:hAnsi="Times New Roman"/>
          <w:sz w:val="24"/>
          <w:szCs w:val="24"/>
          <w:highlight w:val="yellow"/>
        </w:rPr>
        <w:t xml:space="preserve"> and 100 µl of Permeabilization Reagent. </w:t>
      </w:r>
      <w:r w:rsidR="00036BF0" w:rsidRPr="009F3ABD">
        <w:rPr>
          <w:rFonts w:ascii="Times New Roman" w:eastAsiaTheme="minorHAnsi" w:hAnsi="Times New Roman"/>
          <w:sz w:val="24"/>
          <w:szCs w:val="24"/>
        </w:rPr>
        <w:t>For multiple samples, these reagents may be pre</w:t>
      </w:r>
      <w:r w:rsidR="009F6562" w:rsidRPr="009F3ABD">
        <w:rPr>
          <w:rFonts w:ascii="Times New Roman" w:eastAsiaTheme="minorHAnsi" w:hAnsi="Times New Roman"/>
          <w:sz w:val="24"/>
          <w:szCs w:val="24"/>
        </w:rPr>
        <w:t>-mixed and 206.5 µl of mixture</w:t>
      </w:r>
      <w:r w:rsidR="00036BF0" w:rsidRPr="009F3ABD">
        <w:rPr>
          <w:rFonts w:ascii="Times New Roman" w:eastAsiaTheme="minorHAnsi" w:hAnsi="Times New Roman"/>
          <w:sz w:val="24"/>
          <w:szCs w:val="24"/>
        </w:rPr>
        <w:t xml:space="preserve"> may be added to each tube. </w:t>
      </w:r>
      <w:r w:rsidRPr="007E40FA">
        <w:rPr>
          <w:rFonts w:ascii="Times New Roman" w:eastAsiaTheme="minorHAnsi" w:hAnsi="Times New Roman"/>
          <w:sz w:val="24"/>
          <w:szCs w:val="24"/>
          <w:highlight w:val="yellow"/>
        </w:rPr>
        <w:t>Vortex gently to mix and incubate for 20 min at room temperature.</w:t>
      </w:r>
      <w:r w:rsidR="00036BF0" w:rsidRPr="007E40FA">
        <w:rPr>
          <w:rFonts w:ascii="Times New Roman" w:eastAsiaTheme="minorHAnsi" w:hAnsi="Times New Roman"/>
          <w:sz w:val="24"/>
          <w:szCs w:val="24"/>
        </w:rPr>
        <w:t xml:space="preserve">  </w:t>
      </w:r>
    </w:p>
    <w:p w:rsidR="000D081F" w:rsidRPr="007E40FA" w:rsidRDefault="000D081F" w:rsidP="0053484E">
      <w:pPr>
        <w:pStyle w:val="ListParagraph"/>
        <w:spacing w:after="0" w:line="240" w:lineRule="auto"/>
        <w:ind w:left="0"/>
        <w:jc w:val="both"/>
        <w:rPr>
          <w:rFonts w:ascii="Times New Roman" w:eastAsiaTheme="minorHAnsi" w:hAnsi="Times New Roman"/>
          <w:sz w:val="24"/>
          <w:szCs w:val="24"/>
        </w:rPr>
      </w:pPr>
    </w:p>
    <w:p w:rsidR="006B0793" w:rsidRPr="00EB4713" w:rsidRDefault="000D081F" w:rsidP="00EB4713">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lastRenderedPageBreak/>
        <w:t xml:space="preserve">Add 500 µl of dilution buffer, </w:t>
      </w:r>
      <w:r w:rsidR="002D38C3" w:rsidRPr="007E40FA">
        <w:rPr>
          <w:rFonts w:ascii="Times New Roman" w:eastAsiaTheme="minorHAnsi" w:hAnsi="Times New Roman"/>
          <w:sz w:val="24"/>
          <w:szCs w:val="24"/>
          <w:highlight w:val="yellow"/>
        </w:rPr>
        <w:t xml:space="preserve">vortex gently, </w:t>
      </w:r>
      <w:r w:rsidRPr="007E40FA">
        <w:rPr>
          <w:rFonts w:ascii="Times New Roman" w:eastAsiaTheme="minorHAnsi" w:hAnsi="Times New Roman"/>
          <w:sz w:val="24"/>
          <w:szCs w:val="24"/>
          <w:highlight w:val="yellow"/>
        </w:rPr>
        <w:t>place sample tubes into the magnet, and incubate for 10 min.</w:t>
      </w:r>
      <w:r w:rsidR="00637B50"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While the sample tubes are still in the magnet, use a glass pipette to </w:t>
      </w:r>
      <w:r w:rsidRPr="00EB4713">
        <w:rPr>
          <w:rFonts w:ascii="Times New Roman" w:eastAsiaTheme="minorHAnsi" w:hAnsi="Times New Roman"/>
          <w:sz w:val="24"/>
          <w:szCs w:val="24"/>
          <w:highlight w:val="yellow"/>
        </w:rPr>
        <w:t>carefully aspirate the residual liquid without touching the wall of the tube next to the magnet and discard.</w:t>
      </w:r>
      <w:r w:rsidR="006B0793" w:rsidRPr="00EB4713">
        <w:rPr>
          <w:rFonts w:ascii="Times New Roman" w:eastAsiaTheme="minorHAnsi" w:hAnsi="Times New Roman"/>
          <w:sz w:val="24"/>
          <w:szCs w:val="24"/>
          <w:highlight w:val="yellow"/>
        </w:rPr>
        <w:t xml:space="preserve"> Remove the sample tubes from the magnet and </w:t>
      </w:r>
      <w:proofErr w:type="spellStart"/>
      <w:r w:rsidR="006B0793" w:rsidRPr="00EB4713">
        <w:rPr>
          <w:rFonts w:ascii="Times New Roman" w:eastAsiaTheme="minorHAnsi" w:hAnsi="Times New Roman"/>
          <w:sz w:val="24"/>
          <w:szCs w:val="24"/>
          <w:highlight w:val="yellow"/>
        </w:rPr>
        <w:t>resuspend</w:t>
      </w:r>
      <w:proofErr w:type="spellEnd"/>
      <w:r w:rsidR="006B0793" w:rsidRPr="00EB4713">
        <w:rPr>
          <w:rFonts w:ascii="Times New Roman" w:eastAsiaTheme="minorHAnsi" w:hAnsi="Times New Roman"/>
          <w:sz w:val="24"/>
          <w:szCs w:val="24"/>
          <w:highlight w:val="yellow"/>
        </w:rPr>
        <w:t xml:space="preserve"> in 350 µl of dilution buffer.</w:t>
      </w:r>
      <w:r w:rsidR="002D38C3" w:rsidRPr="00EB4713">
        <w:rPr>
          <w:rFonts w:ascii="Times New Roman" w:eastAsiaTheme="minorHAnsi" w:hAnsi="Times New Roman"/>
          <w:sz w:val="24"/>
          <w:szCs w:val="24"/>
        </w:rPr>
        <w:t xml:space="preserve"> </w:t>
      </w:r>
      <w:r w:rsidR="00B00DF1" w:rsidRPr="00EB4713">
        <w:rPr>
          <w:rFonts w:ascii="Times New Roman" w:eastAsiaTheme="minorHAnsi" w:hAnsi="Times New Roman"/>
          <w:sz w:val="24"/>
          <w:szCs w:val="24"/>
          <w:highlight w:val="yellow"/>
        </w:rPr>
        <w:t>Vortex gently to mix.</w:t>
      </w:r>
      <w:r w:rsidR="006B0793" w:rsidRPr="00EB4713">
        <w:rPr>
          <w:rFonts w:ascii="Times New Roman" w:eastAsiaTheme="minorHAnsi" w:hAnsi="Times New Roman"/>
          <w:sz w:val="24"/>
          <w:szCs w:val="24"/>
        </w:rPr>
        <w:t xml:space="preserve"> </w:t>
      </w:r>
    </w:p>
    <w:p w:rsidR="006B0793" w:rsidRPr="007E40FA" w:rsidRDefault="006B0793" w:rsidP="0053484E">
      <w:pPr>
        <w:pStyle w:val="ListParagraph"/>
        <w:spacing w:after="0" w:line="240" w:lineRule="auto"/>
        <w:ind w:left="0"/>
        <w:jc w:val="both"/>
        <w:rPr>
          <w:rFonts w:ascii="Times New Roman" w:eastAsiaTheme="minorHAnsi" w:hAnsi="Times New Roman"/>
          <w:sz w:val="24"/>
          <w:szCs w:val="24"/>
        </w:rPr>
      </w:pPr>
    </w:p>
    <w:p w:rsidR="00237481" w:rsidRPr="00E429F0" w:rsidRDefault="00716910" w:rsidP="0053484E">
      <w:pPr>
        <w:pStyle w:val="ListParagraph"/>
        <w:numPr>
          <w:ilvl w:val="0"/>
          <w:numId w:val="7"/>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 xml:space="preserve">Magnetic Device </w:t>
      </w:r>
      <w:r w:rsidR="00237481" w:rsidRPr="007E40FA">
        <w:rPr>
          <w:rFonts w:ascii="Times New Roman" w:eastAsiaTheme="minorHAnsi" w:hAnsi="Times New Roman"/>
          <w:b/>
          <w:sz w:val="24"/>
          <w:szCs w:val="24"/>
        </w:rPr>
        <w:t xml:space="preserve">Loading </w:t>
      </w:r>
    </w:p>
    <w:p w:rsidR="005629D8" w:rsidRPr="007E40FA" w:rsidRDefault="006B0793"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Using a gel loading tip</w:t>
      </w:r>
      <w:r w:rsidR="00F36283" w:rsidRPr="007E40FA">
        <w:rPr>
          <w:rFonts w:ascii="Times New Roman" w:eastAsiaTheme="minorHAnsi" w:hAnsi="Times New Roman"/>
          <w:sz w:val="24"/>
          <w:szCs w:val="24"/>
          <w:highlight w:val="yellow"/>
        </w:rPr>
        <w:t>,</w:t>
      </w:r>
      <w:r w:rsidRPr="007E40FA">
        <w:rPr>
          <w:rFonts w:ascii="Times New Roman" w:eastAsiaTheme="minorHAnsi" w:hAnsi="Times New Roman"/>
          <w:sz w:val="24"/>
          <w:szCs w:val="24"/>
          <w:highlight w:val="yellow"/>
        </w:rPr>
        <w:t xml:space="preserve"> carefully transfer the entire volume from the sample tube into a cartridge in </w:t>
      </w:r>
      <w:r w:rsidR="00DF5DE3" w:rsidRPr="007E40FA">
        <w:rPr>
          <w:rFonts w:ascii="Times New Roman" w:eastAsiaTheme="minorHAnsi" w:hAnsi="Times New Roman"/>
          <w:sz w:val="24"/>
          <w:szCs w:val="24"/>
          <w:highlight w:val="yellow"/>
        </w:rPr>
        <w:t xml:space="preserve">the </w:t>
      </w:r>
      <w:proofErr w:type="spellStart"/>
      <w:r w:rsidR="00716910" w:rsidRPr="007E40FA">
        <w:rPr>
          <w:rFonts w:ascii="Times New Roman" w:eastAsiaTheme="minorHAnsi" w:hAnsi="Times New Roman"/>
          <w:sz w:val="24"/>
          <w:szCs w:val="24"/>
          <w:highlight w:val="yellow"/>
        </w:rPr>
        <w:t>magentic</w:t>
      </w:r>
      <w:proofErr w:type="spellEnd"/>
      <w:r w:rsidR="00716910"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device. Start at the bottom of the cartridge </w:t>
      </w:r>
      <w:r w:rsidR="00D63122" w:rsidRPr="007E40FA">
        <w:rPr>
          <w:rFonts w:ascii="Times New Roman" w:eastAsiaTheme="minorHAnsi" w:hAnsi="Times New Roman"/>
          <w:sz w:val="24"/>
          <w:szCs w:val="24"/>
          <w:highlight w:val="yellow"/>
        </w:rPr>
        <w:t xml:space="preserve">and </w:t>
      </w:r>
      <w:r w:rsidRPr="007E40FA">
        <w:rPr>
          <w:rFonts w:ascii="Times New Roman" w:eastAsiaTheme="minorHAnsi" w:hAnsi="Times New Roman"/>
          <w:sz w:val="24"/>
          <w:szCs w:val="24"/>
          <w:highlight w:val="yellow"/>
        </w:rPr>
        <w:t>slowly withdraw the tip as the sample is dispensed.</w:t>
      </w:r>
      <w:r w:rsidRPr="007E40FA">
        <w:rPr>
          <w:rFonts w:ascii="Times New Roman" w:eastAsiaTheme="minorHAnsi" w:hAnsi="Times New Roman"/>
          <w:sz w:val="24"/>
          <w:szCs w:val="24"/>
        </w:rPr>
        <w:t xml:space="preserve">  </w:t>
      </w:r>
    </w:p>
    <w:p w:rsidR="006B0793" w:rsidRPr="007E40FA" w:rsidRDefault="006B0793" w:rsidP="0053484E">
      <w:pPr>
        <w:pStyle w:val="ListParagraph"/>
        <w:spacing w:after="0" w:line="240" w:lineRule="auto"/>
        <w:ind w:left="0"/>
        <w:jc w:val="both"/>
        <w:rPr>
          <w:rFonts w:ascii="Times New Roman" w:eastAsiaTheme="minorHAnsi" w:hAnsi="Times New Roman"/>
          <w:sz w:val="24"/>
          <w:szCs w:val="24"/>
        </w:rPr>
      </w:pPr>
    </w:p>
    <w:p w:rsidR="00237481" w:rsidRPr="007E40FA" w:rsidRDefault="006B0793"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Once </w:t>
      </w:r>
      <w:r w:rsidR="009F6562" w:rsidRPr="007E40FA">
        <w:rPr>
          <w:rFonts w:ascii="Times New Roman" w:eastAsiaTheme="minorHAnsi" w:hAnsi="Times New Roman"/>
          <w:sz w:val="24"/>
          <w:szCs w:val="24"/>
        </w:rPr>
        <w:t xml:space="preserve">the </w:t>
      </w:r>
      <w:r w:rsidRPr="007E40FA">
        <w:rPr>
          <w:rFonts w:ascii="Times New Roman" w:eastAsiaTheme="minorHAnsi" w:hAnsi="Times New Roman"/>
          <w:sz w:val="24"/>
          <w:szCs w:val="24"/>
        </w:rPr>
        <w:t xml:space="preserve">entire sample has been transferred, loosely cap </w:t>
      </w:r>
      <w:r w:rsidR="009F6562" w:rsidRPr="007E40FA">
        <w:rPr>
          <w:rFonts w:ascii="Times New Roman" w:eastAsiaTheme="minorHAnsi" w:hAnsi="Times New Roman"/>
          <w:sz w:val="24"/>
          <w:szCs w:val="24"/>
        </w:rPr>
        <w:t xml:space="preserve">the </w:t>
      </w:r>
      <w:r w:rsidR="00716910" w:rsidRPr="007E40FA">
        <w:rPr>
          <w:rFonts w:ascii="Times New Roman" w:eastAsiaTheme="minorHAnsi" w:hAnsi="Times New Roman"/>
          <w:sz w:val="24"/>
          <w:szCs w:val="24"/>
        </w:rPr>
        <w:t xml:space="preserve">magnetic device </w:t>
      </w:r>
      <w:r w:rsidR="00F36283" w:rsidRPr="007E40FA">
        <w:rPr>
          <w:rFonts w:ascii="Times New Roman" w:eastAsiaTheme="minorHAnsi" w:hAnsi="Times New Roman"/>
          <w:sz w:val="24"/>
          <w:szCs w:val="24"/>
        </w:rPr>
        <w:t xml:space="preserve">cartridge </w:t>
      </w:r>
      <w:r w:rsidRPr="007E40FA">
        <w:rPr>
          <w:rFonts w:ascii="Times New Roman" w:eastAsiaTheme="minorHAnsi" w:hAnsi="Times New Roman"/>
          <w:sz w:val="24"/>
          <w:szCs w:val="24"/>
        </w:rPr>
        <w:t xml:space="preserve">and tap </w:t>
      </w:r>
      <w:r w:rsidR="009F6562" w:rsidRPr="007E40FA">
        <w:rPr>
          <w:rFonts w:ascii="Times New Roman" w:eastAsiaTheme="minorHAnsi" w:hAnsi="Times New Roman"/>
          <w:sz w:val="24"/>
          <w:szCs w:val="24"/>
        </w:rPr>
        <w:t xml:space="preserve">the </w:t>
      </w:r>
      <w:r w:rsidR="00716910" w:rsidRPr="007E40FA">
        <w:rPr>
          <w:rFonts w:ascii="Times New Roman" w:eastAsiaTheme="minorHAnsi" w:hAnsi="Times New Roman"/>
          <w:sz w:val="24"/>
          <w:szCs w:val="24"/>
        </w:rPr>
        <w:t xml:space="preserve">magnetic </w:t>
      </w:r>
      <w:r w:rsidRPr="007E40FA">
        <w:rPr>
          <w:rFonts w:ascii="Times New Roman" w:eastAsiaTheme="minorHAnsi" w:hAnsi="Times New Roman"/>
          <w:sz w:val="24"/>
          <w:szCs w:val="24"/>
        </w:rPr>
        <w:t xml:space="preserve">device </w:t>
      </w:r>
      <w:r w:rsidR="00F36283" w:rsidRPr="007E40FA">
        <w:rPr>
          <w:rFonts w:ascii="Times New Roman" w:eastAsiaTheme="minorHAnsi" w:hAnsi="Times New Roman"/>
          <w:sz w:val="24"/>
          <w:szCs w:val="24"/>
        </w:rPr>
        <w:t>using hands or</w:t>
      </w:r>
      <w:r w:rsidR="00237481" w:rsidRPr="007E40FA">
        <w:rPr>
          <w:rFonts w:ascii="Times New Roman" w:eastAsiaTheme="minorHAnsi" w:hAnsi="Times New Roman"/>
          <w:sz w:val="24"/>
          <w:szCs w:val="24"/>
        </w:rPr>
        <w:t xml:space="preserve"> lab bench to release any bubbles that are stuck to the edges of the cartridge</w:t>
      </w:r>
      <w:r w:rsidR="00990F17" w:rsidRPr="007E40FA">
        <w:rPr>
          <w:rFonts w:ascii="Times New Roman" w:eastAsiaTheme="minorHAnsi" w:hAnsi="Times New Roman"/>
          <w:sz w:val="24"/>
          <w:szCs w:val="24"/>
        </w:rPr>
        <w:t xml:space="preserve"> as described in section 3.1 of the </w:t>
      </w:r>
      <w:r w:rsidR="00990F17" w:rsidRPr="007E40FA">
        <w:rPr>
          <w:rFonts w:ascii="Times New Roman" w:eastAsiaTheme="minorHAnsi" w:hAnsi="Times New Roman"/>
          <w:b/>
          <w:i/>
          <w:sz w:val="24"/>
          <w:szCs w:val="24"/>
        </w:rPr>
        <w:t xml:space="preserve">Standard CTC Enumeration from Patient Blood Samples using the </w:t>
      </w:r>
      <w:r w:rsidR="004C0272" w:rsidRPr="007E40FA">
        <w:rPr>
          <w:rFonts w:ascii="Times New Roman" w:eastAsiaTheme="minorHAnsi" w:hAnsi="Times New Roman"/>
          <w:b/>
          <w:i/>
          <w:sz w:val="24"/>
          <w:szCs w:val="24"/>
        </w:rPr>
        <w:t>CSS</w:t>
      </w:r>
      <w:r w:rsidR="00237481" w:rsidRPr="007E40FA">
        <w:rPr>
          <w:rFonts w:ascii="Times New Roman" w:eastAsiaTheme="minorHAnsi" w:hAnsi="Times New Roman"/>
          <w:sz w:val="24"/>
          <w:szCs w:val="24"/>
        </w:rPr>
        <w:t xml:space="preserve">. </w:t>
      </w:r>
    </w:p>
    <w:p w:rsidR="00237481" w:rsidRPr="007E40FA" w:rsidRDefault="00237481" w:rsidP="0053484E">
      <w:pPr>
        <w:pStyle w:val="ListParagraph"/>
        <w:spacing w:after="0" w:line="240" w:lineRule="auto"/>
        <w:ind w:left="0"/>
        <w:jc w:val="both"/>
        <w:rPr>
          <w:rFonts w:ascii="Times New Roman" w:eastAsiaTheme="minorHAnsi" w:hAnsi="Times New Roman"/>
          <w:sz w:val="24"/>
          <w:szCs w:val="24"/>
        </w:rPr>
      </w:pPr>
    </w:p>
    <w:p w:rsidR="006B0793" w:rsidRPr="007E40FA" w:rsidRDefault="006B0793" w:rsidP="0053484E">
      <w:pPr>
        <w:pStyle w:val="ListParagraph"/>
        <w:numPr>
          <w:ilvl w:val="1"/>
          <w:numId w:val="7"/>
        </w:numPr>
        <w:spacing w:after="0" w:line="240" w:lineRule="auto"/>
        <w:ind w:left="0" w:firstLine="0"/>
        <w:jc w:val="both"/>
        <w:rPr>
          <w:rFonts w:ascii="Times New Roman" w:eastAsiaTheme="minorHAnsi" w:hAnsi="Times New Roman"/>
          <w:sz w:val="24"/>
          <w:szCs w:val="24"/>
        </w:rPr>
      </w:pPr>
      <w:r w:rsidRPr="007E40FA">
        <w:rPr>
          <w:rFonts w:ascii="Times New Roman" w:eastAsiaTheme="minorHAnsi" w:hAnsi="Times New Roman"/>
          <w:sz w:val="24"/>
          <w:szCs w:val="24"/>
          <w:highlight w:val="yellow"/>
        </w:rPr>
        <w:t>Pop any bubbles</w:t>
      </w:r>
      <w:r w:rsidR="00F36283" w:rsidRPr="007E40FA">
        <w:rPr>
          <w:rFonts w:ascii="Times New Roman" w:eastAsiaTheme="minorHAnsi" w:hAnsi="Times New Roman"/>
          <w:sz w:val="24"/>
          <w:szCs w:val="24"/>
          <w:highlight w:val="yellow"/>
        </w:rPr>
        <w:t xml:space="preserve"> </w:t>
      </w:r>
      <w:r w:rsidRPr="007E40FA">
        <w:rPr>
          <w:rFonts w:ascii="Times New Roman" w:eastAsiaTheme="minorHAnsi" w:hAnsi="Times New Roman"/>
          <w:sz w:val="24"/>
          <w:szCs w:val="24"/>
          <w:highlight w:val="yellow"/>
        </w:rPr>
        <w:t xml:space="preserve">using a </w:t>
      </w:r>
      <w:r w:rsidR="00D63122" w:rsidRPr="007E40FA">
        <w:rPr>
          <w:rFonts w:ascii="Times New Roman" w:eastAsiaTheme="minorHAnsi" w:hAnsi="Times New Roman"/>
          <w:sz w:val="24"/>
          <w:szCs w:val="24"/>
          <w:highlight w:val="yellow"/>
        </w:rPr>
        <w:t xml:space="preserve">sterile </w:t>
      </w:r>
      <w:r w:rsidRPr="007E40FA">
        <w:rPr>
          <w:rFonts w:ascii="Times New Roman" w:eastAsiaTheme="minorHAnsi" w:hAnsi="Times New Roman"/>
          <w:sz w:val="24"/>
          <w:szCs w:val="24"/>
          <w:highlight w:val="yellow"/>
        </w:rPr>
        <w:t>22 gauge needle</w:t>
      </w:r>
      <w:r w:rsidR="00F36283" w:rsidRPr="007E40FA">
        <w:rPr>
          <w:rFonts w:ascii="Times New Roman" w:eastAsiaTheme="minorHAnsi" w:hAnsi="Times New Roman"/>
          <w:sz w:val="24"/>
          <w:szCs w:val="24"/>
          <w:highlight w:val="yellow"/>
        </w:rPr>
        <w:t xml:space="preserve"> by trapping them between the bevel and the edge of the cartridge</w:t>
      </w:r>
      <w:r w:rsidR="00237481" w:rsidRPr="007E40FA">
        <w:rPr>
          <w:rFonts w:ascii="Times New Roman" w:eastAsiaTheme="minorHAnsi" w:hAnsi="Times New Roman"/>
          <w:sz w:val="24"/>
          <w:szCs w:val="24"/>
          <w:highlight w:val="yellow"/>
        </w:rPr>
        <w:t xml:space="preserve">. Once all the bubbles have been removed, firmly cap </w:t>
      </w:r>
      <w:r w:rsidR="009F6562" w:rsidRPr="007E40FA">
        <w:rPr>
          <w:rFonts w:ascii="Times New Roman" w:eastAsiaTheme="minorHAnsi" w:hAnsi="Times New Roman"/>
          <w:sz w:val="24"/>
          <w:szCs w:val="24"/>
          <w:highlight w:val="yellow"/>
        </w:rPr>
        <w:t xml:space="preserve">the </w:t>
      </w:r>
      <w:r w:rsidR="00237481" w:rsidRPr="007E40FA">
        <w:rPr>
          <w:rFonts w:ascii="Times New Roman" w:eastAsiaTheme="minorHAnsi" w:hAnsi="Times New Roman"/>
          <w:sz w:val="24"/>
          <w:szCs w:val="24"/>
          <w:highlight w:val="yellow"/>
        </w:rPr>
        <w:t>cartridge</w:t>
      </w:r>
      <w:r w:rsidR="006F6BBE" w:rsidRPr="007E40FA">
        <w:rPr>
          <w:rFonts w:ascii="Times New Roman" w:eastAsiaTheme="minorHAnsi" w:hAnsi="Times New Roman"/>
          <w:sz w:val="24"/>
          <w:szCs w:val="24"/>
          <w:highlight w:val="yellow"/>
        </w:rPr>
        <w:t>, lay</w:t>
      </w:r>
      <w:r w:rsidR="009F6562" w:rsidRPr="007E40FA">
        <w:rPr>
          <w:rFonts w:ascii="Times New Roman" w:eastAsiaTheme="minorHAnsi" w:hAnsi="Times New Roman"/>
          <w:sz w:val="24"/>
          <w:szCs w:val="24"/>
          <w:highlight w:val="yellow"/>
        </w:rPr>
        <w:t xml:space="preserve"> the</w:t>
      </w:r>
      <w:r w:rsidR="006F6BBE" w:rsidRPr="007E40FA">
        <w:rPr>
          <w:rFonts w:ascii="Times New Roman" w:eastAsiaTheme="minorHAnsi" w:hAnsi="Times New Roman"/>
          <w:sz w:val="24"/>
          <w:szCs w:val="24"/>
          <w:highlight w:val="yellow"/>
        </w:rPr>
        <w:t xml:space="preserve"> </w:t>
      </w:r>
      <w:r w:rsidR="00716910" w:rsidRPr="007E40FA">
        <w:rPr>
          <w:rFonts w:ascii="Times New Roman" w:eastAsiaTheme="minorHAnsi" w:hAnsi="Times New Roman"/>
          <w:sz w:val="24"/>
          <w:szCs w:val="24"/>
          <w:highlight w:val="yellow"/>
        </w:rPr>
        <w:t xml:space="preserve">magnetic </w:t>
      </w:r>
      <w:r w:rsidR="00237481" w:rsidRPr="007E40FA">
        <w:rPr>
          <w:rFonts w:ascii="Times New Roman" w:eastAsiaTheme="minorHAnsi" w:hAnsi="Times New Roman"/>
          <w:sz w:val="24"/>
          <w:szCs w:val="24"/>
          <w:highlight w:val="yellow"/>
        </w:rPr>
        <w:t>device flat</w:t>
      </w:r>
      <w:r w:rsidR="006F6BBE" w:rsidRPr="007E40FA">
        <w:rPr>
          <w:rFonts w:ascii="Times New Roman" w:eastAsiaTheme="minorHAnsi" w:hAnsi="Times New Roman"/>
          <w:sz w:val="24"/>
          <w:szCs w:val="24"/>
          <w:highlight w:val="yellow"/>
        </w:rPr>
        <w:t>,</w:t>
      </w:r>
      <w:r w:rsidR="00237481" w:rsidRPr="007E40FA">
        <w:rPr>
          <w:rFonts w:ascii="Times New Roman" w:eastAsiaTheme="minorHAnsi" w:hAnsi="Times New Roman"/>
          <w:sz w:val="24"/>
          <w:szCs w:val="24"/>
          <w:highlight w:val="yellow"/>
        </w:rPr>
        <w:t xml:space="preserve"> and incubate in the dark for at least 10 minutes.</w:t>
      </w:r>
      <w:r w:rsidR="00F36283" w:rsidRPr="007E40FA">
        <w:rPr>
          <w:rFonts w:ascii="Times New Roman" w:eastAsiaTheme="minorHAnsi" w:hAnsi="Times New Roman"/>
          <w:sz w:val="24"/>
          <w:szCs w:val="24"/>
        </w:rPr>
        <w:t xml:space="preserve"> Samples must be scanned within 24 hours of preparation.</w:t>
      </w:r>
    </w:p>
    <w:p w:rsidR="00237481" w:rsidRPr="007E40FA" w:rsidRDefault="00237481" w:rsidP="0053484E">
      <w:pPr>
        <w:pStyle w:val="ListParagraph"/>
        <w:spacing w:after="0" w:line="240" w:lineRule="auto"/>
        <w:ind w:left="0"/>
        <w:jc w:val="both"/>
        <w:rPr>
          <w:rFonts w:ascii="Times New Roman" w:eastAsiaTheme="minorHAnsi" w:hAnsi="Times New Roman"/>
          <w:sz w:val="24"/>
          <w:szCs w:val="24"/>
        </w:rPr>
      </w:pPr>
    </w:p>
    <w:p w:rsidR="00BD04DF" w:rsidRPr="00E429F0" w:rsidRDefault="00237481" w:rsidP="0053484E">
      <w:pPr>
        <w:pStyle w:val="ListParagraph"/>
        <w:numPr>
          <w:ilvl w:val="0"/>
          <w:numId w:val="10"/>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b/>
          <w:sz w:val="24"/>
          <w:szCs w:val="24"/>
        </w:rPr>
        <w:t>Scanning</w:t>
      </w:r>
      <w:r w:rsidR="00BD04DF" w:rsidRPr="007E40FA">
        <w:rPr>
          <w:rFonts w:ascii="Times New Roman" w:eastAsiaTheme="minorHAnsi" w:hAnsi="Times New Roman"/>
          <w:b/>
          <w:sz w:val="24"/>
          <w:szCs w:val="24"/>
        </w:rPr>
        <w:t xml:space="preserve"> </w:t>
      </w:r>
      <w:r w:rsidR="009F6562" w:rsidRPr="007E40FA">
        <w:rPr>
          <w:rFonts w:ascii="Times New Roman" w:eastAsiaTheme="minorHAnsi" w:hAnsi="Times New Roman"/>
          <w:b/>
          <w:sz w:val="24"/>
          <w:szCs w:val="24"/>
        </w:rPr>
        <w:t xml:space="preserve">of Manually Separated Samples </w:t>
      </w:r>
      <w:r w:rsidR="00BD04DF" w:rsidRPr="007E40FA">
        <w:rPr>
          <w:rFonts w:ascii="Times New Roman" w:eastAsiaTheme="minorHAnsi" w:hAnsi="Times New Roman"/>
          <w:b/>
          <w:sz w:val="24"/>
          <w:szCs w:val="24"/>
        </w:rPr>
        <w:t xml:space="preserve">on the </w:t>
      </w:r>
      <w:r w:rsidR="00F131F9" w:rsidRPr="007E40FA">
        <w:rPr>
          <w:rFonts w:ascii="Times New Roman" w:eastAsiaTheme="minorHAnsi" w:hAnsi="Times New Roman"/>
          <w:b/>
          <w:sz w:val="24"/>
          <w:szCs w:val="24"/>
        </w:rPr>
        <w:t>Analysis Instrument</w:t>
      </w:r>
    </w:p>
    <w:p w:rsidR="00F03D5A" w:rsidRPr="007E40FA" w:rsidRDefault="00F03D5A" w:rsidP="0053484E">
      <w:pPr>
        <w:pStyle w:val="ListParagraph"/>
        <w:numPr>
          <w:ilvl w:val="1"/>
          <w:numId w:val="14"/>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sz w:val="24"/>
          <w:szCs w:val="24"/>
        </w:rPr>
        <w:t xml:space="preserve">Turn on the </w:t>
      </w:r>
      <w:r w:rsidR="00716910" w:rsidRPr="007E40FA">
        <w:rPr>
          <w:rFonts w:ascii="Times New Roman" w:eastAsiaTheme="minorHAnsi" w:hAnsi="Times New Roman"/>
          <w:sz w:val="24"/>
          <w:szCs w:val="24"/>
        </w:rPr>
        <w:t>analysis instrument</w:t>
      </w:r>
      <w:r w:rsidR="00BE1405" w:rsidRPr="007E40FA">
        <w:rPr>
          <w:rFonts w:ascii="Times New Roman" w:eastAsiaTheme="minorHAnsi" w:hAnsi="Times New Roman"/>
          <w:sz w:val="24"/>
          <w:szCs w:val="24"/>
        </w:rPr>
        <w:t xml:space="preserve">, initialize the lamp, </w:t>
      </w:r>
      <w:r w:rsidR="00B009F0" w:rsidRPr="007E40FA">
        <w:rPr>
          <w:rFonts w:ascii="Times New Roman" w:eastAsiaTheme="minorHAnsi" w:hAnsi="Times New Roman"/>
          <w:sz w:val="24"/>
          <w:szCs w:val="24"/>
        </w:rPr>
        <w:t xml:space="preserve">and </w:t>
      </w:r>
      <w:r w:rsidRPr="007E40FA">
        <w:rPr>
          <w:rFonts w:ascii="Times New Roman" w:eastAsiaTheme="minorHAnsi" w:hAnsi="Times New Roman"/>
          <w:sz w:val="24"/>
          <w:szCs w:val="24"/>
        </w:rPr>
        <w:t xml:space="preserve">perform quality control and </w:t>
      </w:r>
      <w:r w:rsidR="00B009F0" w:rsidRPr="007E40FA">
        <w:rPr>
          <w:rFonts w:ascii="Times New Roman" w:eastAsiaTheme="minorHAnsi" w:hAnsi="Times New Roman"/>
          <w:sz w:val="24"/>
          <w:szCs w:val="24"/>
        </w:rPr>
        <w:t xml:space="preserve">system </w:t>
      </w:r>
      <w:r w:rsidRPr="007E40FA">
        <w:rPr>
          <w:rFonts w:ascii="Times New Roman" w:eastAsiaTheme="minorHAnsi" w:hAnsi="Times New Roman"/>
          <w:sz w:val="24"/>
          <w:szCs w:val="24"/>
        </w:rPr>
        <w:t>verification as</w:t>
      </w:r>
      <w:r w:rsidR="00BE1405" w:rsidRPr="007E40FA">
        <w:rPr>
          <w:rFonts w:ascii="Times New Roman" w:eastAsiaTheme="minorHAnsi" w:hAnsi="Times New Roman"/>
          <w:sz w:val="24"/>
          <w:szCs w:val="24"/>
        </w:rPr>
        <w:t xml:space="preserve"> described in section 3.2 of the</w:t>
      </w:r>
      <w:r w:rsidRPr="007E40FA">
        <w:rPr>
          <w:rFonts w:ascii="Times New Roman" w:eastAsiaTheme="minorHAnsi" w:hAnsi="Times New Roman"/>
          <w:sz w:val="24"/>
          <w:szCs w:val="24"/>
        </w:rPr>
        <w:t xml:space="preserve"> </w:t>
      </w:r>
      <w:r w:rsidR="009F6562" w:rsidRPr="007E40FA">
        <w:rPr>
          <w:rFonts w:ascii="Times New Roman" w:eastAsiaTheme="minorHAnsi" w:hAnsi="Times New Roman"/>
          <w:b/>
          <w:i/>
          <w:sz w:val="24"/>
          <w:szCs w:val="24"/>
        </w:rPr>
        <w:t xml:space="preserve">Standard CTC Enumeration from Patient Blood Samples using the </w:t>
      </w:r>
      <w:r w:rsidR="004C0272" w:rsidRPr="007E40FA">
        <w:rPr>
          <w:rFonts w:ascii="Times New Roman" w:eastAsiaTheme="minorHAnsi" w:hAnsi="Times New Roman"/>
          <w:b/>
          <w:i/>
          <w:sz w:val="24"/>
          <w:szCs w:val="24"/>
        </w:rPr>
        <w:t>CSS</w:t>
      </w:r>
      <w:r w:rsidRPr="007E40FA">
        <w:rPr>
          <w:rFonts w:ascii="Times New Roman" w:eastAsiaTheme="minorHAnsi" w:hAnsi="Times New Roman"/>
          <w:sz w:val="24"/>
          <w:szCs w:val="24"/>
        </w:rPr>
        <w:t xml:space="preserve"> protocol.</w:t>
      </w:r>
    </w:p>
    <w:p w:rsidR="00F03D5A" w:rsidRPr="007E40FA" w:rsidRDefault="00F03D5A" w:rsidP="0053484E">
      <w:pPr>
        <w:pStyle w:val="ListParagraph"/>
        <w:spacing w:after="0" w:line="240" w:lineRule="auto"/>
        <w:ind w:left="0"/>
        <w:jc w:val="both"/>
        <w:rPr>
          <w:rFonts w:ascii="Times New Roman" w:eastAsiaTheme="minorHAnsi" w:hAnsi="Times New Roman"/>
          <w:b/>
          <w:sz w:val="24"/>
          <w:szCs w:val="24"/>
        </w:rPr>
      </w:pPr>
    </w:p>
    <w:p w:rsidR="00BD04DF" w:rsidRPr="007E40FA" w:rsidRDefault="007442AE" w:rsidP="0053484E">
      <w:pPr>
        <w:pStyle w:val="ListParagraph"/>
        <w:numPr>
          <w:ilvl w:val="1"/>
          <w:numId w:val="14"/>
        </w:numPr>
        <w:spacing w:after="0" w:line="240" w:lineRule="auto"/>
        <w:ind w:left="0" w:firstLine="0"/>
        <w:jc w:val="both"/>
        <w:rPr>
          <w:rFonts w:ascii="Times New Roman" w:eastAsiaTheme="minorHAnsi" w:hAnsi="Times New Roman"/>
          <w:b/>
          <w:sz w:val="24"/>
          <w:szCs w:val="24"/>
        </w:rPr>
      </w:pPr>
      <w:r w:rsidRPr="007E40FA">
        <w:rPr>
          <w:rFonts w:ascii="Times New Roman" w:eastAsiaTheme="minorHAnsi" w:hAnsi="Times New Roman"/>
          <w:sz w:val="24"/>
          <w:szCs w:val="24"/>
          <w:highlight w:val="yellow"/>
        </w:rPr>
        <w:t xml:space="preserve">Load the sample onto the </w:t>
      </w:r>
      <w:r w:rsidR="00716910" w:rsidRPr="007E40FA">
        <w:rPr>
          <w:rFonts w:ascii="Times New Roman" w:eastAsiaTheme="minorHAnsi" w:hAnsi="Times New Roman"/>
          <w:sz w:val="24"/>
          <w:szCs w:val="24"/>
          <w:highlight w:val="yellow"/>
        </w:rPr>
        <w:t>analysis instrument</w:t>
      </w:r>
      <w:r w:rsidRPr="007E40FA">
        <w:rPr>
          <w:rFonts w:ascii="Times New Roman" w:eastAsiaTheme="minorHAnsi" w:hAnsi="Times New Roman"/>
          <w:sz w:val="24"/>
          <w:szCs w:val="24"/>
          <w:highlight w:val="yellow"/>
        </w:rPr>
        <w:t xml:space="preserve"> and select the </w:t>
      </w:r>
      <w:r w:rsidRPr="007E40FA">
        <w:rPr>
          <w:rFonts w:ascii="Times New Roman" w:eastAsiaTheme="minorHAnsi" w:hAnsi="Times New Roman"/>
          <w:i/>
          <w:sz w:val="24"/>
          <w:szCs w:val="24"/>
          <w:highlight w:val="yellow"/>
        </w:rPr>
        <w:t>Setup</w:t>
      </w:r>
      <w:r w:rsidRPr="007E40FA">
        <w:rPr>
          <w:rFonts w:ascii="Times New Roman" w:eastAsiaTheme="minorHAnsi" w:hAnsi="Times New Roman"/>
          <w:sz w:val="24"/>
          <w:szCs w:val="24"/>
          <w:highlight w:val="yellow"/>
        </w:rPr>
        <w:t xml:space="preserve"> tab. </w:t>
      </w:r>
      <w:proofErr w:type="gramStart"/>
      <w:r w:rsidRPr="007E40FA">
        <w:rPr>
          <w:rFonts w:ascii="Times New Roman" w:eastAsiaTheme="minorHAnsi" w:hAnsi="Times New Roman"/>
          <w:sz w:val="24"/>
          <w:szCs w:val="24"/>
          <w:highlight w:val="yellow"/>
        </w:rPr>
        <w:t>Clear</w:t>
      </w:r>
      <w:proofErr w:type="gramEnd"/>
      <w:r w:rsidRPr="007E40FA">
        <w:rPr>
          <w:rFonts w:ascii="Times New Roman" w:eastAsiaTheme="minorHAnsi" w:hAnsi="Times New Roman"/>
          <w:sz w:val="24"/>
          <w:szCs w:val="24"/>
          <w:highlight w:val="yellow"/>
        </w:rPr>
        <w:t xml:space="preserve"> any existing data on the </w:t>
      </w:r>
      <w:r w:rsidR="00716910" w:rsidRPr="007E40FA">
        <w:rPr>
          <w:rFonts w:ascii="Times New Roman" w:eastAsiaTheme="minorHAnsi" w:hAnsi="Times New Roman"/>
          <w:sz w:val="24"/>
          <w:szCs w:val="24"/>
          <w:highlight w:val="yellow"/>
        </w:rPr>
        <w:t xml:space="preserve">magnetic device </w:t>
      </w:r>
      <w:r w:rsidRPr="007E40FA">
        <w:rPr>
          <w:rFonts w:ascii="Times New Roman" w:eastAsiaTheme="minorHAnsi" w:hAnsi="Times New Roman"/>
          <w:sz w:val="24"/>
          <w:szCs w:val="24"/>
          <w:highlight w:val="yellow"/>
        </w:rPr>
        <w:t xml:space="preserve">data button by clicking the </w:t>
      </w:r>
      <w:r w:rsidRPr="007E40FA">
        <w:rPr>
          <w:rFonts w:ascii="Times New Roman" w:eastAsiaTheme="minorHAnsi" w:hAnsi="Times New Roman"/>
          <w:i/>
          <w:sz w:val="24"/>
          <w:szCs w:val="24"/>
          <w:highlight w:val="yellow"/>
        </w:rPr>
        <w:t>Format Sample</w:t>
      </w:r>
      <w:r w:rsidRPr="007E40FA">
        <w:rPr>
          <w:rFonts w:ascii="Times New Roman" w:eastAsiaTheme="minorHAnsi" w:hAnsi="Times New Roman"/>
          <w:sz w:val="24"/>
          <w:szCs w:val="24"/>
          <w:highlight w:val="yellow"/>
        </w:rPr>
        <w:t xml:space="preserve"> button.</w:t>
      </w:r>
      <w:r w:rsidRPr="007E40FA">
        <w:rPr>
          <w:rFonts w:ascii="Times New Roman" w:eastAsiaTheme="minorHAnsi" w:hAnsi="Times New Roman"/>
          <w:sz w:val="24"/>
          <w:szCs w:val="24"/>
        </w:rPr>
        <w:t xml:space="preserve"> Enable the FITC channel and set the exposure time to 1.0 sec as described in section 2.2 of the </w:t>
      </w:r>
      <w:r w:rsidRPr="007E40FA">
        <w:rPr>
          <w:rFonts w:ascii="Times New Roman" w:hAnsi="Times New Roman"/>
          <w:b/>
          <w:i/>
          <w:sz w:val="24"/>
          <w:szCs w:val="24"/>
        </w:rPr>
        <w:t xml:space="preserve">CTC Characterization for User-Defined Markers using the </w:t>
      </w:r>
      <w:r w:rsidR="004C0272" w:rsidRPr="007E40FA">
        <w:rPr>
          <w:rFonts w:ascii="Times New Roman" w:hAnsi="Times New Roman"/>
          <w:b/>
          <w:i/>
          <w:sz w:val="24"/>
          <w:szCs w:val="24"/>
        </w:rPr>
        <w:t>CSS</w:t>
      </w:r>
      <w:r w:rsidRPr="007E40FA">
        <w:rPr>
          <w:rFonts w:ascii="Times New Roman" w:eastAsiaTheme="minorHAnsi" w:hAnsi="Times New Roman"/>
          <w:sz w:val="24"/>
          <w:szCs w:val="24"/>
        </w:rPr>
        <w:t xml:space="preserve">.  </w:t>
      </w:r>
      <w:r w:rsidR="00F36283" w:rsidRPr="007E40FA">
        <w:rPr>
          <w:rFonts w:ascii="Times New Roman" w:eastAsiaTheme="minorHAnsi" w:hAnsi="Times New Roman"/>
          <w:sz w:val="24"/>
          <w:szCs w:val="24"/>
        </w:rPr>
        <w:t xml:space="preserve"> </w:t>
      </w:r>
    </w:p>
    <w:p w:rsidR="00F36283" w:rsidRPr="007E40FA" w:rsidRDefault="00F36283" w:rsidP="0053484E">
      <w:pPr>
        <w:pStyle w:val="ListParagraph"/>
        <w:spacing w:after="0" w:line="240" w:lineRule="auto"/>
        <w:ind w:left="0"/>
        <w:jc w:val="both"/>
        <w:rPr>
          <w:rFonts w:ascii="Times New Roman" w:eastAsiaTheme="minorHAnsi" w:hAnsi="Times New Roman"/>
          <w:b/>
          <w:sz w:val="24"/>
          <w:szCs w:val="24"/>
        </w:rPr>
      </w:pPr>
    </w:p>
    <w:p w:rsidR="00B00DF1" w:rsidRPr="007E40FA" w:rsidRDefault="008907C6" w:rsidP="0053484E">
      <w:pPr>
        <w:pStyle w:val="ListParagraph"/>
        <w:numPr>
          <w:ilvl w:val="1"/>
          <w:numId w:val="14"/>
        </w:numPr>
        <w:spacing w:after="0" w:line="240" w:lineRule="auto"/>
        <w:ind w:left="0" w:firstLine="0"/>
        <w:jc w:val="both"/>
        <w:rPr>
          <w:rFonts w:ascii="Times New Roman" w:eastAsiaTheme="minorHAnsi" w:hAnsi="Times New Roman"/>
          <w:sz w:val="24"/>
          <w:szCs w:val="24"/>
          <w:highlight w:val="yellow"/>
        </w:rPr>
      </w:pPr>
      <w:r w:rsidRPr="007E40FA">
        <w:rPr>
          <w:rFonts w:ascii="Times New Roman" w:eastAsiaTheme="minorHAnsi" w:hAnsi="Times New Roman"/>
          <w:sz w:val="24"/>
          <w:szCs w:val="24"/>
          <w:highlight w:val="yellow"/>
        </w:rPr>
        <w:t xml:space="preserve">Click on the </w:t>
      </w:r>
      <w:r w:rsidRPr="007E40FA">
        <w:rPr>
          <w:rFonts w:ascii="Times New Roman" w:eastAsiaTheme="minorHAnsi" w:hAnsi="Times New Roman"/>
          <w:i/>
          <w:sz w:val="24"/>
          <w:szCs w:val="24"/>
          <w:highlight w:val="yellow"/>
        </w:rPr>
        <w:t>Patient Test</w:t>
      </w:r>
      <w:r w:rsidRPr="007E40FA">
        <w:rPr>
          <w:rFonts w:ascii="Times New Roman" w:eastAsiaTheme="minorHAnsi" w:hAnsi="Times New Roman"/>
          <w:sz w:val="24"/>
          <w:szCs w:val="24"/>
          <w:highlight w:val="yellow"/>
        </w:rPr>
        <w:t xml:space="preserve"> tab </w:t>
      </w:r>
      <w:r w:rsidR="005153D1" w:rsidRPr="007E40FA">
        <w:rPr>
          <w:rFonts w:ascii="Times New Roman" w:eastAsiaTheme="minorHAnsi" w:hAnsi="Times New Roman"/>
          <w:sz w:val="24"/>
          <w:szCs w:val="24"/>
          <w:highlight w:val="yellow"/>
        </w:rPr>
        <w:t xml:space="preserve">and select </w:t>
      </w:r>
      <w:r w:rsidR="00B00DF1" w:rsidRPr="007E40FA">
        <w:rPr>
          <w:rFonts w:ascii="Times New Roman" w:eastAsiaTheme="minorHAnsi" w:hAnsi="Times New Roman"/>
          <w:i/>
          <w:sz w:val="24"/>
          <w:szCs w:val="24"/>
          <w:highlight w:val="yellow"/>
        </w:rPr>
        <w:t xml:space="preserve">Edit </w:t>
      </w:r>
      <w:r w:rsidRPr="007E40FA">
        <w:rPr>
          <w:rFonts w:ascii="Times New Roman" w:eastAsiaTheme="minorHAnsi" w:hAnsi="Times New Roman"/>
          <w:sz w:val="24"/>
          <w:szCs w:val="24"/>
          <w:highlight w:val="yellow"/>
        </w:rPr>
        <w:t xml:space="preserve">to input the sample information. Select </w:t>
      </w:r>
      <w:proofErr w:type="spellStart"/>
      <w:r w:rsidRPr="007E40FA">
        <w:rPr>
          <w:rFonts w:ascii="Times New Roman" w:eastAsiaTheme="minorHAnsi" w:hAnsi="Times New Roman"/>
          <w:i/>
          <w:sz w:val="24"/>
          <w:szCs w:val="24"/>
          <w:highlight w:val="yellow"/>
        </w:rPr>
        <w:t>CellSearch</w:t>
      </w:r>
      <w:proofErr w:type="spellEnd"/>
      <w:r w:rsidRPr="007E40FA">
        <w:rPr>
          <w:rFonts w:ascii="Times New Roman" w:eastAsiaTheme="minorHAnsi" w:hAnsi="Times New Roman"/>
          <w:i/>
          <w:sz w:val="24"/>
          <w:szCs w:val="24"/>
          <w:highlight w:val="yellow"/>
        </w:rPr>
        <w:t xml:space="preserve"> CTC</w:t>
      </w:r>
      <w:r w:rsidRPr="007E40FA">
        <w:rPr>
          <w:rFonts w:ascii="Times New Roman" w:eastAsiaTheme="minorHAnsi" w:hAnsi="Times New Roman"/>
          <w:sz w:val="24"/>
          <w:szCs w:val="24"/>
          <w:highlight w:val="yellow"/>
        </w:rPr>
        <w:t xml:space="preserve"> as the </w:t>
      </w:r>
      <w:r w:rsidRPr="007E40FA">
        <w:rPr>
          <w:rFonts w:ascii="Times New Roman" w:eastAsiaTheme="minorHAnsi" w:hAnsi="Times New Roman"/>
          <w:i/>
          <w:sz w:val="24"/>
          <w:szCs w:val="24"/>
          <w:highlight w:val="yellow"/>
        </w:rPr>
        <w:t>Kit ID</w:t>
      </w:r>
      <w:r w:rsidRPr="007E40FA">
        <w:rPr>
          <w:rFonts w:ascii="Times New Roman" w:eastAsiaTheme="minorHAnsi" w:hAnsi="Times New Roman"/>
          <w:sz w:val="24"/>
          <w:szCs w:val="24"/>
          <w:highlight w:val="yellow"/>
        </w:rPr>
        <w:t xml:space="preserve"> and </w:t>
      </w:r>
      <w:r w:rsidRPr="007E40FA">
        <w:rPr>
          <w:rFonts w:ascii="Times New Roman" w:eastAsiaTheme="minorHAnsi" w:hAnsi="Times New Roman"/>
          <w:i/>
          <w:sz w:val="24"/>
          <w:szCs w:val="24"/>
          <w:highlight w:val="yellow"/>
        </w:rPr>
        <w:t>CTC Research</w:t>
      </w:r>
      <w:r w:rsidRPr="007E40FA">
        <w:rPr>
          <w:rFonts w:ascii="Times New Roman" w:eastAsiaTheme="minorHAnsi" w:hAnsi="Times New Roman"/>
          <w:sz w:val="24"/>
          <w:szCs w:val="24"/>
          <w:highlight w:val="yellow"/>
        </w:rPr>
        <w:t xml:space="preserve"> as the </w:t>
      </w:r>
      <w:r w:rsidRPr="007E40FA">
        <w:rPr>
          <w:rFonts w:ascii="Times New Roman" w:eastAsiaTheme="minorHAnsi" w:hAnsi="Times New Roman"/>
          <w:i/>
          <w:sz w:val="24"/>
          <w:szCs w:val="24"/>
          <w:highlight w:val="yellow"/>
        </w:rPr>
        <w:t>Test Protocol</w:t>
      </w:r>
      <w:r w:rsidRPr="007E40FA">
        <w:rPr>
          <w:rFonts w:ascii="Times New Roman" w:eastAsiaTheme="minorHAnsi" w:hAnsi="Times New Roman"/>
          <w:sz w:val="24"/>
          <w:szCs w:val="24"/>
          <w:highlight w:val="yellow"/>
        </w:rPr>
        <w:t xml:space="preserve">. Input the remaining necessary information as indicated as the asterisk. </w:t>
      </w:r>
      <w:r w:rsidRPr="007E40FA">
        <w:rPr>
          <w:rFonts w:ascii="Times New Roman" w:eastAsiaTheme="minorHAnsi" w:hAnsi="Times New Roman"/>
          <w:i/>
          <w:sz w:val="24"/>
          <w:szCs w:val="24"/>
          <w:highlight w:val="yellow"/>
        </w:rPr>
        <w:t>Save</w:t>
      </w:r>
      <w:r w:rsidRPr="007E40FA">
        <w:rPr>
          <w:rFonts w:ascii="Times New Roman" w:eastAsiaTheme="minorHAnsi" w:hAnsi="Times New Roman"/>
          <w:sz w:val="24"/>
          <w:szCs w:val="24"/>
          <w:highlight w:val="yellow"/>
        </w:rPr>
        <w:t xml:space="preserve"> the sample information and click </w:t>
      </w:r>
      <w:r w:rsidRPr="007E40FA">
        <w:rPr>
          <w:rFonts w:ascii="Times New Roman" w:eastAsiaTheme="minorHAnsi" w:hAnsi="Times New Roman"/>
          <w:i/>
          <w:sz w:val="24"/>
          <w:szCs w:val="24"/>
          <w:highlight w:val="yellow"/>
        </w:rPr>
        <w:t>Start</w:t>
      </w:r>
      <w:r w:rsidRPr="007E40FA">
        <w:rPr>
          <w:rFonts w:ascii="Times New Roman" w:eastAsiaTheme="minorHAnsi" w:hAnsi="Times New Roman"/>
          <w:sz w:val="24"/>
          <w:szCs w:val="24"/>
          <w:highlight w:val="yellow"/>
        </w:rPr>
        <w:t>.</w:t>
      </w:r>
      <w:r w:rsidR="00716910" w:rsidRPr="007E40FA">
        <w:rPr>
          <w:rFonts w:ascii="Times New Roman" w:eastAsiaTheme="minorHAnsi" w:hAnsi="Times New Roman"/>
          <w:sz w:val="24"/>
          <w:szCs w:val="24"/>
        </w:rPr>
        <w:t xml:space="preserve"> </w:t>
      </w:r>
      <w:r w:rsidR="00B00DF1" w:rsidRPr="007E40FA">
        <w:rPr>
          <w:rFonts w:ascii="Times New Roman" w:eastAsiaTheme="minorHAnsi" w:hAnsi="Times New Roman"/>
          <w:sz w:val="24"/>
          <w:szCs w:val="24"/>
          <w:highlight w:val="yellow"/>
        </w:rPr>
        <w:br w:type="page"/>
      </w:r>
    </w:p>
    <w:p w:rsidR="00D04C9A" w:rsidRPr="007E40FA" w:rsidRDefault="00B00DF1" w:rsidP="001F0875">
      <w:pPr>
        <w:spacing w:after="0" w:line="240" w:lineRule="auto"/>
        <w:jc w:val="both"/>
        <w:rPr>
          <w:rFonts w:ascii="Times New Roman" w:eastAsiaTheme="minorHAnsi" w:hAnsi="Times New Roman"/>
          <w:b/>
          <w:sz w:val="24"/>
          <w:szCs w:val="24"/>
        </w:rPr>
      </w:pPr>
      <w:r w:rsidRPr="007E40FA">
        <w:rPr>
          <w:rFonts w:ascii="Times New Roman" w:eastAsiaTheme="minorHAnsi" w:hAnsi="Times New Roman"/>
          <w:b/>
          <w:sz w:val="24"/>
          <w:szCs w:val="24"/>
        </w:rPr>
        <w:lastRenderedPageBreak/>
        <w:t>REPRESENTAT</w:t>
      </w:r>
      <w:r w:rsidRPr="007E40FA">
        <w:rPr>
          <w:rFonts w:ascii="Times New Roman" w:eastAsiaTheme="minorHAnsi" w:hAnsi="Times New Roman"/>
          <w:b/>
          <w:i/>
          <w:sz w:val="24"/>
          <w:szCs w:val="24"/>
        </w:rPr>
        <w:t>IVE RESULTS:</w:t>
      </w:r>
    </w:p>
    <w:p w:rsidR="00195E41" w:rsidRPr="007E40FA" w:rsidRDefault="00195E41" w:rsidP="001F0875">
      <w:pPr>
        <w:spacing w:after="0" w:line="240" w:lineRule="auto"/>
        <w:jc w:val="both"/>
        <w:rPr>
          <w:rFonts w:ascii="Times New Roman" w:eastAsiaTheme="minorHAnsi" w:hAnsi="Times New Roman"/>
          <w:sz w:val="24"/>
          <w:szCs w:val="24"/>
        </w:rPr>
      </w:pPr>
    </w:p>
    <w:p w:rsidR="00013A92" w:rsidRPr="007E40FA" w:rsidRDefault="00201C52" w:rsidP="001F0875">
      <w:pPr>
        <w:spacing w:after="0" w:line="240" w:lineRule="auto"/>
        <w:jc w:val="both"/>
        <w:rPr>
          <w:rFonts w:ascii="Times New Roman" w:eastAsiaTheme="minorHAnsi" w:hAnsi="Times New Roman"/>
          <w:b/>
          <w:sz w:val="24"/>
          <w:szCs w:val="24"/>
        </w:rPr>
      </w:pPr>
      <w:r w:rsidRPr="007E40FA">
        <w:rPr>
          <w:rFonts w:ascii="Times New Roman" w:eastAsiaTheme="minorHAnsi" w:hAnsi="Times New Roman"/>
          <w:b/>
          <w:sz w:val="24"/>
          <w:szCs w:val="24"/>
        </w:rPr>
        <w:t>Standard CTC Enumeration Assay</w:t>
      </w:r>
    </w:p>
    <w:p w:rsidR="00501054" w:rsidRPr="007E40FA" w:rsidRDefault="00501054" w:rsidP="001F0875">
      <w:pPr>
        <w:spacing w:after="0" w:line="240" w:lineRule="auto"/>
        <w:jc w:val="both"/>
        <w:rPr>
          <w:rFonts w:ascii="Times New Roman" w:eastAsiaTheme="minorHAnsi" w:hAnsi="Times New Roman"/>
          <w:sz w:val="24"/>
          <w:szCs w:val="24"/>
        </w:rPr>
      </w:pPr>
      <w:r w:rsidRPr="007E40FA">
        <w:rPr>
          <w:rFonts w:ascii="Times New Roman" w:eastAsiaTheme="minorHAnsi" w:hAnsi="Times New Roman"/>
          <w:sz w:val="24"/>
          <w:szCs w:val="24"/>
        </w:rPr>
        <w:t xml:space="preserve">The sensitivity and specificity of the </w:t>
      </w:r>
      <w:r w:rsidR="004C0272" w:rsidRPr="007E40FA">
        <w:rPr>
          <w:rFonts w:ascii="Times New Roman" w:eastAsiaTheme="minorHAnsi" w:hAnsi="Times New Roman"/>
          <w:sz w:val="24"/>
          <w:szCs w:val="24"/>
        </w:rPr>
        <w:t>CSS</w:t>
      </w:r>
      <w:r w:rsidRPr="007E40FA">
        <w:rPr>
          <w:rFonts w:ascii="Times New Roman" w:eastAsiaTheme="minorHAnsi" w:hAnsi="Times New Roman"/>
          <w:sz w:val="24"/>
          <w:szCs w:val="24"/>
        </w:rPr>
        <w:t xml:space="preserve"> has been well documented in the literature. However, to validate </w:t>
      </w:r>
      <w:r w:rsidR="001A4CF2" w:rsidRPr="007E40FA">
        <w:rPr>
          <w:rFonts w:ascii="Times New Roman" w:eastAsiaTheme="minorHAnsi" w:hAnsi="Times New Roman"/>
          <w:sz w:val="24"/>
          <w:szCs w:val="24"/>
        </w:rPr>
        <w:t>equivalent</w:t>
      </w:r>
      <w:r w:rsidRPr="007E40FA">
        <w:rPr>
          <w:rFonts w:ascii="Times New Roman" w:eastAsiaTheme="minorHAnsi" w:hAnsi="Times New Roman"/>
          <w:sz w:val="24"/>
          <w:szCs w:val="24"/>
        </w:rPr>
        <w:t xml:space="preserve"> CTC recovery</w:t>
      </w:r>
      <w:r w:rsidR="00244330" w:rsidRPr="007E40FA">
        <w:rPr>
          <w:rFonts w:ascii="Times New Roman" w:eastAsiaTheme="minorHAnsi" w:hAnsi="Times New Roman"/>
          <w:sz w:val="24"/>
          <w:szCs w:val="24"/>
        </w:rPr>
        <w:t>, s</w:t>
      </w:r>
      <w:r w:rsidRPr="007E40FA">
        <w:rPr>
          <w:rFonts w:ascii="Times New Roman" w:eastAsiaTheme="minorHAnsi" w:hAnsi="Times New Roman"/>
          <w:sz w:val="24"/>
          <w:szCs w:val="24"/>
        </w:rPr>
        <w:t>piked (1</w:t>
      </w:r>
      <w:r w:rsidR="000C7419" w:rsidRPr="007E40FA">
        <w:rPr>
          <w:rFonts w:ascii="Times New Roman" w:eastAsiaTheme="minorHAnsi" w:hAnsi="Times New Roman"/>
          <w:sz w:val="24"/>
          <w:szCs w:val="24"/>
        </w:rPr>
        <w:t>,</w:t>
      </w:r>
      <w:r w:rsidRPr="007E40FA">
        <w:rPr>
          <w:rFonts w:ascii="Times New Roman" w:eastAsiaTheme="minorHAnsi" w:hAnsi="Times New Roman"/>
          <w:sz w:val="24"/>
          <w:szCs w:val="24"/>
        </w:rPr>
        <w:t xml:space="preserve">000 </w:t>
      </w:r>
      <w:proofErr w:type="spellStart"/>
      <w:r w:rsidRPr="007E40FA">
        <w:rPr>
          <w:rFonts w:ascii="Times New Roman" w:eastAsiaTheme="minorHAnsi" w:hAnsi="Times New Roman"/>
          <w:sz w:val="24"/>
          <w:szCs w:val="24"/>
        </w:rPr>
        <w:t>LNCaP</w:t>
      </w:r>
      <w:proofErr w:type="spellEnd"/>
      <w:r w:rsidRPr="007E40FA">
        <w:rPr>
          <w:rFonts w:ascii="Times New Roman" w:eastAsiaTheme="minorHAnsi" w:hAnsi="Times New Roman"/>
          <w:sz w:val="24"/>
          <w:szCs w:val="24"/>
        </w:rPr>
        <w:t xml:space="preserve"> </w:t>
      </w:r>
      <w:r w:rsidR="00244330" w:rsidRPr="007E40FA">
        <w:rPr>
          <w:rFonts w:ascii="Times New Roman" w:eastAsiaTheme="minorHAnsi" w:hAnsi="Times New Roman"/>
          <w:sz w:val="24"/>
          <w:szCs w:val="24"/>
        </w:rPr>
        <w:t xml:space="preserve">human prostate cancer </w:t>
      </w:r>
      <w:r w:rsidRPr="007E40FA">
        <w:rPr>
          <w:rFonts w:ascii="Times New Roman" w:eastAsiaTheme="minorHAnsi" w:hAnsi="Times New Roman"/>
          <w:sz w:val="24"/>
          <w:szCs w:val="24"/>
        </w:rPr>
        <w:t xml:space="preserve">cells) and </w:t>
      </w:r>
      <w:proofErr w:type="spellStart"/>
      <w:r w:rsidRPr="007E40FA">
        <w:rPr>
          <w:rFonts w:ascii="Times New Roman" w:eastAsiaTheme="minorHAnsi" w:hAnsi="Times New Roman"/>
          <w:sz w:val="24"/>
          <w:szCs w:val="24"/>
        </w:rPr>
        <w:t>unspiked</w:t>
      </w:r>
      <w:proofErr w:type="spellEnd"/>
      <w:r w:rsidRPr="007E40FA">
        <w:rPr>
          <w:rFonts w:ascii="Times New Roman" w:eastAsiaTheme="minorHAnsi" w:hAnsi="Times New Roman"/>
          <w:sz w:val="24"/>
          <w:szCs w:val="24"/>
        </w:rPr>
        <w:t xml:space="preserve"> human blood samples</w:t>
      </w:r>
      <w:r w:rsidR="00244330" w:rsidRPr="007E40FA">
        <w:rPr>
          <w:rFonts w:ascii="Times New Roman" w:eastAsiaTheme="minorHAnsi" w:hAnsi="Times New Roman"/>
          <w:sz w:val="24"/>
          <w:szCs w:val="24"/>
        </w:rPr>
        <w:t xml:space="preserve"> from healthy volunteer donors</w:t>
      </w:r>
      <w:r w:rsidRPr="007E40FA">
        <w:rPr>
          <w:rFonts w:ascii="Times New Roman" w:eastAsiaTheme="minorHAnsi" w:hAnsi="Times New Roman"/>
          <w:sz w:val="24"/>
          <w:szCs w:val="24"/>
        </w:rPr>
        <w:t xml:space="preserve"> were processed on the </w:t>
      </w:r>
      <w:r w:rsidR="004C0272" w:rsidRPr="007E40FA">
        <w:rPr>
          <w:rFonts w:ascii="Times New Roman" w:eastAsiaTheme="minorHAnsi" w:hAnsi="Times New Roman"/>
          <w:sz w:val="24"/>
          <w:szCs w:val="24"/>
        </w:rPr>
        <w:t>CSS</w:t>
      </w:r>
      <w:r w:rsidRPr="007E40FA">
        <w:rPr>
          <w:rFonts w:ascii="Times New Roman" w:eastAsiaTheme="minorHAnsi" w:hAnsi="Times New Roman"/>
          <w:sz w:val="24"/>
          <w:szCs w:val="24"/>
        </w:rPr>
        <w:t xml:space="preserve"> using the standard </w:t>
      </w:r>
      <w:r w:rsidR="004C0272" w:rsidRPr="007E40FA">
        <w:rPr>
          <w:rFonts w:ascii="Times New Roman" w:eastAsiaTheme="minorHAnsi" w:hAnsi="Times New Roman"/>
          <w:sz w:val="24"/>
          <w:szCs w:val="24"/>
        </w:rPr>
        <w:t>CSS</w:t>
      </w:r>
      <w:r w:rsidR="001A4CF2"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CTC protocol.</w:t>
      </w:r>
      <w:r w:rsidR="00305068" w:rsidRPr="007E40FA">
        <w:rPr>
          <w:rFonts w:ascii="Times New Roman" w:eastAsiaTheme="minorHAnsi" w:hAnsi="Times New Roman"/>
          <w:sz w:val="24"/>
          <w:szCs w:val="24"/>
        </w:rPr>
        <w:t xml:space="preserve"> </w:t>
      </w:r>
      <w:r w:rsidR="001A4CF2" w:rsidRPr="007E40FA">
        <w:rPr>
          <w:rFonts w:ascii="Times New Roman" w:eastAsiaTheme="minorHAnsi" w:hAnsi="Times New Roman"/>
          <w:sz w:val="24"/>
          <w:szCs w:val="24"/>
        </w:rPr>
        <w:t xml:space="preserve">As expected, </w:t>
      </w:r>
      <w:proofErr w:type="spellStart"/>
      <w:r w:rsidR="001A4CF2" w:rsidRPr="007E40FA">
        <w:rPr>
          <w:rFonts w:ascii="Times New Roman" w:eastAsiaTheme="minorHAnsi" w:hAnsi="Times New Roman"/>
          <w:sz w:val="24"/>
          <w:szCs w:val="24"/>
        </w:rPr>
        <w:t>unspiked</w:t>
      </w:r>
      <w:proofErr w:type="spellEnd"/>
      <w:r w:rsidR="001A4CF2" w:rsidRPr="007E40FA">
        <w:rPr>
          <w:rFonts w:ascii="Times New Roman" w:eastAsiaTheme="minorHAnsi" w:hAnsi="Times New Roman"/>
          <w:sz w:val="24"/>
          <w:szCs w:val="24"/>
        </w:rPr>
        <w:t xml:space="preserve"> </w:t>
      </w:r>
      <w:r w:rsidR="00A35C2E" w:rsidRPr="007E40FA">
        <w:rPr>
          <w:rFonts w:ascii="Times New Roman" w:eastAsiaTheme="minorHAnsi" w:hAnsi="Times New Roman"/>
          <w:sz w:val="24"/>
          <w:szCs w:val="24"/>
        </w:rPr>
        <w:t>samples were free of CTCs, 0.0</w:t>
      </w:r>
      <w:r w:rsidR="000C7419" w:rsidRPr="007E40FA">
        <w:rPr>
          <w:rFonts w:ascii="Times New Roman" w:eastAsiaTheme="minorHAnsi" w:hAnsi="Times New Roman"/>
          <w:sz w:val="24"/>
          <w:szCs w:val="24"/>
        </w:rPr>
        <w:t>0</w:t>
      </w:r>
      <w:r w:rsidR="001A4CF2" w:rsidRPr="007E40FA">
        <w:rPr>
          <w:rFonts w:ascii="Times New Roman" w:eastAsiaTheme="minorHAnsi" w:hAnsi="Times New Roman"/>
          <w:sz w:val="24"/>
          <w:szCs w:val="24"/>
        </w:rPr>
        <w:t>±</w:t>
      </w:r>
      <w:r w:rsidR="00A35C2E" w:rsidRPr="007E40FA">
        <w:rPr>
          <w:rFonts w:ascii="Times New Roman" w:eastAsiaTheme="minorHAnsi" w:hAnsi="Times New Roman"/>
          <w:sz w:val="24"/>
          <w:szCs w:val="24"/>
        </w:rPr>
        <w:t>0.00%</w:t>
      </w:r>
      <w:r w:rsidR="001A4CF2" w:rsidRPr="007E40FA">
        <w:rPr>
          <w:rFonts w:ascii="Times New Roman" w:eastAsiaTheme="minorHAnsi" w:hAnsi="Times New Roman"/>
          <w:sz w:val="24"/>
          <w:szCs w:val="24"/>
        </w:rPr>
        <w:t>, and CTC r</w:t>
      </w:r>
      <w:r w:rsidRPr="007E40FA">
        <w:rPr>
          <w:rFonts w:ascii="Times New Roman" w:eastAsiaTheme="minorHAnsi" w:hAnsi="Times New Roman"/>
          <w:sz w:val="24"/>
          <w:szCs w:val="24"/>
        </w:rPr>
        <w:t>ecovery was demonstrated to be 8</w:t>
      </w:r>
      <w:r w:rsidR="00A35C2E" w:rsidRPr="007E40FA">
        <w:rPr>
          <w:rFonts w:ascii="Times New Roman" w:eastAsiaTheme="minorHAnsi" w:hAnsi="Times New Roman"/>
          <w:sz w:val="24"/>
          <w:szCs w:val="24"/>
        </w:rPr>
        <w:t>6.9</w:t>
      </w:r>
      <w:r w:rsidRPr="007E40FA">
        <w:rPr>
          <w:rFonts w:ascii="Times New Roman" w:eastAsiaTheme="minorHAnsi" w:hAnsi="Times New Roman"/>
          <w:sz w:val="24"/>
          <w:szCs w:val="24"/>
        </w:rPr>
        <w:t>±</w:t>
      </w:r>
      <w:r w:rsidR="00A35C2E" w:rsidRPr="007E40FA">
        <w:rPr>
          <w:rFonts w:ascii="Times New Roman" w:eastAsiaTheme="minorHAnsi" w:hAnsi="Times New Roman"/>
          <w:sz w:val="24"/>
          <w:szCs w:val="24"/>
        </w:rPr>
        <w:t>4.71%</w:t>
      </w:r>
      <w:r w:rsidRPr="007E40FA">
        <w:rPr>
          <w:rFonts w:ascii="Times New Roman" w:eastAsiaTheme="minorHAnsi" w:hAnsi="Times New Roman"/>
          <w:sz w:val="24"/>
          <w:szCs w:val="24"/>
        </w:rPr>
        <w:t xml:space="preserve"> for spiked samples</w:t>
      </w:r>
      <w:r w:rsidR="001A4CF2" w:rsidRPr="007E40FA">
        <w:rPr>
          <w:rFonts w:ascii="Times New Roman" w:eastAsiaTheme="minorHAnsi" w:hAnsi="Times New Roman"/>
          <w:sz w:val="24"/>
          <w:szCs w:val="24"/>
        </w:rPr>
        <w:t xml:space="preserve"> </w:t>
      </w:r>
      <w:r w:rsidRPr="007E40FA">
        <w:rPr>
          <w:rFonts w:ascii="Times New Roman" w:eastAsiaTheme="minorHAnsi" w:hAnsi="Times New Roman"/>
          <w:b/>
          <w:sz w:val="24"/>
          <w:szCs w:val="24"/>
        </w:rPr>
        <w:t>(Figure 1A)</w:t>
      </w:r>
      <w:r w:rsidRPr="007E40FA">
        <w:rPr>
          <w:rFonts w:ascii="Times New Roman" w:eastAsiaTheme="minorHAnsi" w:hAnsi="Times New Roman"/>
          <w:sz w:val="24"/>
          <w:szCs w:val="24"/>
        </w:rPr>
        <w:t>.</w:t>
      </w:r>
      <w:r w:rsidR="001A4CF2" w:rsidRPr="007E40FA">
        <w:rPr>
          <w:rFonts w:ascii="Times New Roman" w:eastAsiaTheme="minorHAnsi" w:hAnsi="Times New Roman"/>
          <w:sz w:val="24"/>
          <w:szCs w:val="24"/>
        </w:rPr>
        <w:t xml:space="preserve"> </w:t>
      </w:r>
      <w:r w:rsidR="004C0272" w:rsidRPr="007E40FA">
        <w:rPr>
          <w:rFonts w:ascii="Times New Roman" w:eastAsiaTheme="minorHAnsi" w:hAnsi="Times New Roman"/>
          <w:sz w:val="24"/>
          <w:szCs w:val="24"/>
        </w:rPr>
        <w:t>CSS</w:t>
      </w:r>
      <w:r w:rsidR="001A4CF2" w:rsidRPr="007E40FA">
        <w:rPr>
          <w:rFonts w:ascii="Times New Roman" w:eastAsiaTheme="minorHAnsi" w:hAnsi="Times New Roman"/>
          <w:sz w:val="24"/>
          <w:szCs w:val="24"/>
        </w:rPr>
        <w:t xml:space="preserve"> gallery images ob</w:t>
      </w:r>
      <w:r w:rsidR="00985430" w:rsidRPr="007E40FA">
        <w:rPr>
          <w:rFonts w:ascii="Times New Roman" w:eastAsiaTheme="minorHAnsi" w:hAnsi="Times New Roman"/>
          <w:sz w:val="24"/>
          <w:szCs w:val="24"/>
        </w:rPr>
        <w:t>tained from spiked samples were of optimal quality and CTCs were easy to dist</w:t>
      </w:r>
      <w:r w:rsidR="00244330" w:rsidRPr="007E40FA">
        <w:rPr>
          <w:rFonts w:ascii="Times New Roman" w:eastAsiaTheme="minorHAnsi" w:hAnsi="Times New Roman"/>
          <w:sz w:val="24"/>
          <w:szCs w:val="24"/>
        </w:rPr>
        <w:t xml:space="preserve">inguish from non-CTCs. </w:t>
      </w:r>
      <w:proofErr w:type="gramStart"/>
      <w:r w:rsidR="00244330" w:rsidRPr="007E40FA">
        <w:rPr>
          <w:rFonts w:ascii="Times New Roman" w:eastAsiaTheme="minorHAnsi" w:hAnsi="Times New Roman"/>
          <w:sz w:val="24"/>
          <w:szCs w:val="24"/>
        </w:rPr>
        <w:t xml:space="preserve">However, </w:t>
      </w:r>
      <w:r w:rsidR="00985430" w:rsidRPr="007E40FA">
        <w:rPr>
          <w:rFonts w:ascii="Times New Roman" w:eastAsiaTheme="minorHAnsi" w:hAnsi="Times New Roman"/>
          <w:sz w:val="24"/>
          <w:szCs w:val="24"/>
        </w:rPr>
        <w:t xml:space="preserve">when processing samples </w:t>
      </w:r>
      <w:r w:rsidR="00244330" w:rsidRPr="007E40FA">
        <w:rPr>
          <w:rFonts w:ascii="Times New Roman" w:eastAsiaTheme="minorHAnsi" w:hAnsi="Times New Roman"/>
          <w:sz w:val="24"/>
          <w:szCs w:val="24"/>
        </w:rPr>
        <w:t xml:space="preserve">obtained from </w:t>
      </w:r>
      <w:r w:rsidR="00985430" w:rsidRPr="007E40FA">
        <w:rPr>
          <w:rFonts w:ascii="Times New Roman" w:eastAsiaTheme="minorHAnsi" w:hAnsi="Times New Roman"/>
          <w:sz w:val="24"/>
          <w:szCs w:val="24"/>
        </w:rPr>
        <w:t xml:space="preserve">cancer patients, identification of CTCs </w:t>
      </w:r>
      <w:r w:rsidR="00B34E0E" w:rsidRPr="007E40FA">
        <w:rPr>
          <w:rFonts w:ascii="Times New Roman" w:eastAsiaTheme="minorHAnsi" w:hAnsi="Times New Roman"/>
          <w:sz w:val="24"/>
          <w:szCs w:val="24"/>
        </w:rPr>
        <w:t>i</w:t>
      </w:r>
      <w:r w:rsidR="00985430" w:rsidRPr="007E40FA">
        <w:rPr>
          <w:rFonts w:ascii="Times New Roman" w:eastAsiaTheme="minorHAnsi" w:hAnsi="Times New Roman"/>
          <w:sz w:val="24"/>
          <w:szCs w:val="24"/>
        </w:rPr>
        <w:t xml:space="preserve">s slightly more challenging, with many cells appearing smaller in size and being less easily distinguishable from non-CTCs </w:t>
      </w:r>
      <w:r w:rsidR="00985430" w:rsidRPr="007E40FA">
        <w:rPr>
          <w:rFonts w:ascii="Times New Roman" w:eastAsiaTheme="minorHAnsi" w:hAnsi="Times New Roman"/>
          <w:b/>
          <w:sz w:val="24"/>
          <w:szCs w:val="24"/>
        </w:rPr>
        <w:t>(Figure 1B)</w:t>
      </w:r>
      <w:r w:rsidR="00985430" w:rsidRPr="007E40FA">
        <w:rPr>
          <w:rFonts w:ascii="Times New Roman" w:eastAsiaTheme="minorHAnsi" w:hAnsi="Times New Roman"/>
          <w:sz w:val="24"/>
          <w:szCs w:val="24"/>
        </w:rPr>
        <w:t>.</w:t>
      </w:r>
      <w:proofErr w:type="gramEnd"/>
      <w:r w:rsidR="00985430" w:rsidRPr="007E40FA">
        <w:rPr>
          <w:rFonts w:ascii="Times New Roman" w:eastAsiaTheme="minorHAnsi" w:hAnsi="Times New Roman"/>
          <w:sz w:val="24"/>
          <w:szCs w:val="24"/>
        </w:rPr>
        <w:t xml:space="preserve"> In addition, when reviewing patient samples 6 categories of events </w:t>
      </w:r>
      <w:r w:rsidR="00244330" w:rsidRPr="007E40FA">
        <w:rPr>
          <w:rFonts w:ascii="Times New Roman" w:eastAsiaTheme="minorHAnsi" w:hAnsi="Times New Roman"/>
          <w:sz w:val="24"/>
          <w:szCs w:val="24"/>
        </w:rPr>
        <w:t xml:space="preserve">were identified </w:t>
      </w:r>
      <w:r w:rsidR="00985430" w:rsidRPr="007E40FA">
        <w:rPr>
          <w:rFonts w:ascii="Times New Roman" w:eastAsiaTheme="minorHAnsi" w:hAnsi="Times New Roman"/>
          <w:sz w:val="24"/>
          <w:szCs w:val="24"/>
        </w:rPr>
        <w:t xml:space="preserve">that </w:t>
      </w:r>
      <w:r w:rsidR="00244330" w:rsidRPr="007E40FA">
        <w:rPr>
          <w:rFonts w:ascii="Times New Roman" w:eastAsiaTheme="minorHAnsi" w:hAnsi="Times New Roman"/>
          <w:sz w:val="24"/>
          <w:szCs w:val="24"/>
        </w:rPr>
        <w:t>were</w:t>
      </w:r>
      <w:r w:rsidR="00985430" w:rsidRPr="007E40FA">
        <w:rPr>
          <w:rFonts w:ascii="Times New Roman" w:eastAsiaTheme="minorHAnsi" w:hAnsi="Times New Roman"/>
          <w:sz w:val="24"/>
          <w:szCs w:val="24"/>
        </w:rPr>
        <w:t xml:space="preserve"> commonly discrepant items between reviewers </w:t>
      </w:r>
      <w:r w:rsidR="00985430" w:rsidRPr="007E40FA">
        <w:rPr>
          <w:rFonts w:ascii="Times New Roman" w:eastAsiaTheme="minorHAnsi" w:hAnsi="Times New Roman"/>
          <w:b/>
          <w:sz w:val="24"/>
          <w:szCs w:val="24"/>
        </w:rPr>
        <w:t>(Figure 1C)</w:t>
      </w:r>
      <w:r w:rsidR="00985430" w:rsidRPr="007E40FA">
        <w:rPr>
          <w:rFonts w:ascii="Times New Roman" w:eastAsiaTheme="minorHAnsi" w:hAnsi="Times New Roman"/>
          <w:sz w:val="24"/>
          <w:szCs w:val="24"/>
        </w:rPr>
        <w:t xml:space="preserve">. These 6 categories included, </w:t>
      </w:r>
      <w:r w:rsidR="00985430" w:rsidRPr="007E40FA">
        <w:rPr>
          <w:rFonts w:ascii="Times New Roman" w:eastAsiaTheme="minorHAnsi" w:hAnsi="Times New Roman"/>
          <w:b/>
          <w:i/>
          <w:sz w:val="24"/>
          <w:szCs w:val="24"/>
        </w:rPr>
        <w:t>(1)</w:t>
      </w:r>
      <w:r w:rsidR="00985430" w:rsidRPr="007E40FA">
        <w:rPr>
          <w:rFonts w:ascii="Times New Roman" w:eastAsiaTheme="minorHAnsi" w:hAnsi="Times New Roman"/>
          <w:sz w:val="24"/>
          <w:szCs w:val="24"/>
        </w:rPr>
        <w:t xml:space="preserve"> small events that did not meet the 4µm size requirement</w:t>
      </w:r>
      <w:r w:rsidR="00244330" w:rsidRPr="007E40FA">
        <w:rPr>
          <w:rFonts w:ascii="Times New Roman" w:eastAsiaTheme="minorHAnsi" w:hAnsi="Times New Roman"/>
          <w:sz w:val="24"/>
          <w:szCs w:val="24"/>
        </w:rPr>
        <w:t xml:space="preserve"> for CTC classification</w:t>
      </w:r>
      <w:r w:rsidR="00985430" w:rsidRPr="007E40FA">
        <w:rPr>
          <w:rFonts w:ascii="Times New Roman" w:eastAsiaTheme="minorHAnsi" w:hAnsi="Times New Roman"/>
          <w:sz w:val="24"/>
          <w:szCs w:val="24"/>
        </w:rPr>
        <w:t xml:space="preserve">; </w:t>
      </w:r>
      <w:r w:rsidR="00985430" w:rsidRPr="007E40FA">
        <w:rPr>
          <w:rFonts w:ascii="Times New Roman" w:eastAsiaTheme="minorHAnsi" w:hAnsi="Times New Roman"/>
          <w:b/>
          <w:i/>
          <w:sz w:val="24"/>
          <w:szCs w:val="24"/>
        </w:rPr>
        <w:t>(2)</w:t>
      </w:r>
      <w:r w:rsidR="00985430" w:rsidRPr="007E40FA">
        <w:rPr>
          <w:rFonts w:ascii="Times New Roman" w:eastAsiaTheme="minorHAnsi" w:hAnsi="Times New Roman"/>
          <w:sz w:val="24"/>
          <w:szCs w:val="24"/>
        </w:rPr>
        <w:t xml:space="preserve"> </w:t>
      </w:r>
      <w:r w:rsidR="00593534" w:rsidRPr="007E40FA">
        <w:rPr>
          <w:rFonts w:ascii="Times New Roman" w:eastAsiaTheme="minorHAnsi" w:hAnsi="Times New Roman"/>
          <w:sz w:val="24"/>
          <w:szCs w:val="24"/>
        </w:rPr>
        <w:t>items with dim CK and/or DAPI</w:t>
      </w:r>
      <w:r w:rsidR="00244330" w:rsidRPr="007E40FA">
        <w:rPr>
          <w:rFonts w:ascii="Times New Roman" w:eastAsiaTheme="minorHAnsi" w:hAnsi="Times New Roman"/>
          <w:sz w:val="24"/>
          <w:szCs w:val="24"/>
        </w:rPr>
        <w:t xml:space="preserve"> staining</w:t>
      </w:r>
      <w:r w:rsidR="00593534" w:rsidRPr="007E40FA">
        <w:rPr>
          <w:rFonts w:ascii="Times New Roman" w:eastAsiaTheme="minorHAnsi" w:hAnsi="Times New Roman"/>
          <w:sz w:val="24"/>
          <w:szCs w:val="24"/>
        </w:rPr>
        <w:t xml:space="preserve">; </w:t>
      </w:r>
      <w:r w:rsidR="00593534" w:rsidRPr="007E40FA">
        <w:rPr>
          <w:rFonts w:ascii="Times New Roman" w:eastAsiaTheme="minorHAnsi" w:hAnsi="Times New Roman"/>
          <w:b/>
          <w:i/>
          <w:sz w:val="24"/>
          <w:szCs w:val="24"/>
        </w:rPr>
        <w:t>(3)</w:t>
      </w:r>
      <w:r w:rsidR="00593534" w:rsidRPr="007E40FA">
        <w:rPr>
          <w:rFonts w:ascii="Times New Roman" w:eastAsiaTheme="minorHAnsi" w:hAnsi="Times New Roman"/>
          <w:sz w:val="24"/>
          <w:szCs w:val="24"/>
        </w:rPr>
        <w:t xml:space="preserve"> justified </w:t>
      </w:r>
      <w:r w:rsidR="00244330" w:rsidRPr="007E40FA">
        <w:rPr>
          <w:rFonts w:ascii="Times New Roman" w:eastAsiaTheme="minorHAnsi" w:hAnsi="Times New Roman"/>
          <w:sz w:val="24"/>
          <w:szCs w:val="24"/>
        </w:rPr>
        <w:t xml:space="preserve">(should be counted as a CTC) </w:t>
      </w:r>
      <w:r w:rsidR="00593534" w:rsidRPr="007E40FA">
        <w:rPr>
          <w:rFonts w:ascii="Times New Roman" w:eastAsiaTheme="minorHAnsi" w:hAnsi="Times New Roman"/>
          <w:sz w:val="24"/>
          <w:szCs w:val="24"/>
        </w:rPr>
        <w:t xml:space="preserve">versus unjustified </w:t>
      </w:r>
      <w:r w:rsidR="00244330" w:rsidRPr="007E40FA">
        <w:rPr>
          <w:rFonts w:ascii="Times New Roman" w:eastAsiaTheme="minorHAnsi" w:hAnsi="Times New Roman"/>
          <w:sz w:val="24"/>
          <w:szCs w:val="24"/>
        </w:rPr>
        <w:t xml:space="preserve">(should not be counted as a CTC) </w:t>
      </w:r>
      <w:r w:rsidR="00593534" w:rsidRPr="007E40FA">
        <w:rPr>
          <w:rFonts w:ascii="Times New Roman" w:eastAsiaTheme="minorHAnsi" w:hAnsi="Times New Roman"/>
          <w:sz w:val="24"/>
          <w:szCs w:val="24"/>
        </w:rPr>
        <w:t xml:space="preserve">bleed through into the CD45-APC channel caused by bright CK-PE staining; </w:t>
      </w:r>
      <w:r w:rsidR="00593534" w:rsidRPr="007E40FA">
        <w:rPr>
          <w:rFonts w:ascii="Times New Roman" w:eastAsiaTheme="minorHAnsi" w:hAnsi="Times New Roman"/>
          <w:b/>
          <w:i/>
          <w:sz w:val="24"/>
          <w:szCs w:val="24"/>
        </w:rPr>
        <w:t>(4)</w:t>
      </w:r>
      <w:r w:rsidR="00593534" w:rsidRPr="007E40FA">
        <w:rPr>
          <w:rFonts w:ascii="Times New Roman" w:eastAsiaTheme="minorHAnsi" w:hAnsi="Times New Roman"/>
          <w:sz w:val="24"/>
          <w:szCs w:val="24"/>
        </w:rPr>
        <w:t xml:space="preserve"> </w:t>
      </w:r>
      <w:r w:rsidR="00244330" w:rsidRPr="007E40FA">
        <w:rPr>
          <w:rFonts w:ascii="Times New Roman" w:eastAsiaTheme="minorHAnsi" w:hAnsi="Times New Roman"/>
          <w:sz w:val="24"/>
          <w:szCs w:val="24"/>
        </w:rPr>
        <w:t>FITC+ events</w:t>
      </w:r>
      <w:r w:rsidR="00593534" w:rsidRPr="007E40FA">
        <w:rPr>
          <w:rFonts w:ascii="Times New Roman" w:eastAsiaTheme="minorHAnsi" w:hAnsi="Times New Roman"/>
          <w:sz w:val="24"/>
          <w:szCs w:val="24"/>
        </w:rPr>
        <w:t xml:space="preserve">; </w:t>
      </w:r>
      <w:r w:rsidR="00593534" w:rsidRPr="007E40FA">
        <w:rPr>
          <w:rFonts w:ascii="Times New Roman" w:eastAsiaTheme="minorHAnsi" w:hAnsi="Times New Roman"/>
          <w:b/>
          <w:i/>
          <w:sz w:val="24"/>
          <w:szCs w:val="24"/>
        </w:rPr>
        <w:t>(5)</w:t>
      </w:r>
      <w:r w:rsidR="00593534" w:rsidRPr="007E40FA">
        <w:rPr>
          <w:rFonts w:ascii="Times New Roman" w:eastAsiaTheme="minorHAnsi" w:hAnsi="Times New Roman"/>
          <w:sz w:val="24"/>
          <w:szCs w:val="24"/>
        </w:rPr>
        <w:t xml:space="preserve"> pix</w:t>
      </w:r>
      <w:r w:rsidR="004959E1" w:rsidRPr="007E40FA">
        <w:rPr>
          <w:rFonts w:ascii="Times New Roman" w:eastAsiaTheme="minorHAnsi" w:hAnsi="Times New Roman"/>
          <w:sz w:val="24"/>
          <w:szCs w:val="24"/>
        </w:rPr>
        <w:t>e</w:t>
      </w:r>
      <w:r w:rsidR="00593534" w:rsidRPr="007E40FA">
        <w:rPr>
          <w:rFonts w:ascii="Times New Roman" w:eastAsiaTheme="minorHAnsi" w:hAnsi="Times New Roman"/>
          <w:sz w:val="24"/>
          <w:szCs w:val="24"/>
        </w:rPr>
        <w:t xml:space="preserve">lated images in the CK and/or DAPI channels; and </w:t>
      </w:r>
      <w:r w:rsidR="00593534" w:rsidRPr="007E40FA">
        <w:rPr>
          <w:rFonts w:ascii="Times New Roman" w:eastAsiaTheme="minorHAnsi" w:hAnsi="Times New Roman"/>
          <w:b/>
          <w:i/>
          <w:sz w:val="24"/>
          <w:szCs w:val="24"/>
        </w:rPr>
        <w:t>(6)</w:t>
      </w:r>
      <w:r w:rsidR="00593534" w:rsidRPr="007E40FA">
        <w:rPr>
          <w:rFonts w:ascii="Times New Roman" w:eastAsiaTheme="minorHAnsi" w:hAnsi="Times New Roman"/>
          <w:sz w:val="24"/>
          <w:szCs w:val="24"/>
        </w:rPr>
        <w:t xml:space="preserve"> </w:t>
      </w:r>
      <w:r w:rsidR="00244330" w:rsidRPr="007E40FA">
        <w:rPr>
          <w:rFonts w:ascii="Times New Roman" w:eastAsiaTheme="minorHAnsi" w:hAnsi="Times New Roman"/>
          <w:sz w:val="24"/>
          <w:szCs w:val="24"/>
        </w:rPr>
        <w:t>events</w:t>
      </w:r>
      <w:r w:rsidR="00593534" w:rsidRPr="007E40FA">
        <w:rPr>
          <w:rFonts w:ascii="Times New Roman" w:eastAsiaTheme="minorHAnsi" w:hAnsi="Times New Roman"/>
          <w:sz w:val="24"/>
          <w:szCs w:val="24"/>
        </w:rPr>
        <w:t xml:space="preserve"> with DAPI </w:t>
      </w:r>
      <w:r w:rsidR="00244330" w:rsidRPr="007E40FA">
        <w:rPr>
          <w:rFonts w:ascii="Times New Roman" w:eastAsiaTheme="minorHAnsi" w:hAnsi="Times New Roman"/>
          <w:sz w:val="24"/>
          <w:szCs w:val="24"/>
        </w:rPr>
        <w:t>staining</w:t>
      </w:r>
      <w:r w:rsidR="00593534" w:rsidRPr="007E40FA">
        <w:rPr>
          <w:rFonts w:ascii="Times New Roman" w:eastAsiaTheme="minorHAnsi" w:hAnsi="Times New Roman"/>
          <w:sz w:val="24"/>
          <w:szCs w:val="24"/>
        </w:rPr>
        <w:t xml:space="preserve"> that is larger than CK images or those with DAPI staining that does not overlap &gt;50% with the CK image. </w:t>
      </w:r>
      <w:r w:rsidR="0016707F" w:rsidRPr="007E40FA">
        <w:rPr>
          <w:rFonts w:ascii="Times New Roman" w:eastAsiaTheme="minorHAnsi" w:hAnsi="Times New Roman"/>
          <w:sz w:val="24"/>
          <w:szCs w:val="24"/>
        </w:rPr>
        <w:t xml:space="preserve">For categories </w:t>
      </w:r>
      <w:r w:rsidR="0036708D" w:rsidRPr="007E40FA">
        <w:rPr>
          <w:rFonts w:ascii="Times New Roman" w:eastAsiaTheme="minorHAnsi" w:hAnsi="Times New Roman"/>
          <w:b/>
          <w:i/>
          <w:sz w:val="24"/>
          <w:szCs w:val="24"/>
        </w:rPr>
        <w:t>(2)</w:t>
      </w:r>
      <w:r w:rsidR="0016707F" w:rsidRPr="007E40FA">
        <w:rPr>
          <w:rFonts w:ascii="Times New Roman" w:eastAsiaTheme="minorHAnsi" w:hAnsi="Times New Roman"/>
          <w:sz w:val="24"/>
          <w:szCs w:val="24"/>
        </w:rPr>
        <w:t xml:space="preserve"> and </w:t>
      </w:r>
      <w:r w:rsidR="0036708D" w:rsidRPr="007E40FA">
        <w:rPr>
          <w:rFonts w:ascii="Times New Roman" w:eastAsiaTheme="minorHAnsi" w:hAnsi="Times New Roman"/>
          <w:b/>
          <w:i/>
          <w:sz w:val="24"/>
          <w:szCs w:val="24"/>
        </w:rPr>
        <w:t>(5)</w:t>
      </w:r>
      <w:r w:rsidR="0016707F" w:rsidRPr="007E40FA">
        <w:rPr>
          <w:rFonts w:ascii="Times New Roman" w:eastAsiaTheme="minorHAnsi" w:hAnsi="Times New Roman"/>
          <w:sz w:val="24"/>
          <w:szCs w:val="24"/>
        </w:rPr>
        <w:t xml:space="preserve"> specific criteria exist for CTC classification. For </w:t>
      </w:r>
      <w:r w:rsidR="0036708D" w:rsidRPr="007E40FA">
        <w:rPr>
          <w:rFonts w:ascii="Times New Roman" w:eastAsiaTheme="minorHAnsi" w:hAnsi="Times New Roman"/>
          <w:sz w:val="24"/>
          <w:szCs w:val="24"/>
        </w:rPr>
        <w:t>category</w:t>
      </w:r>
      <w:r w:rsidR="0016707F" w:rsidRPr="007E40FA">
        <w:rPr>
          <w:rFonts w:ascii="Times New Roman" w:eastAsiaTheme="minorHAnsi" w:hAnsi="Times New Roman"/>
          <w:i/>
          <w:sz w:val="24"/>
          <w:szCs w:val="24"/>
        </w:rPr>
        <w:t xml:space="preserve"> </w:t>
      </w:r>
      <w:r w:rsidR="0036708D" w:rsidRPr="007E40FA">
        <w:rPr>
          <w:rFonts w:ascii="Times New Roman" w:eastAsiaTheme="minorHAnsi" w:hAnsi="Times New Roman"/>
          <w:b/>
          <w:i/>
          <w:sz w:val="24"/>
          <w:szCs w:val="24"/>
        </w:rPr>
        <w:t>(2)</w:t>
      </w:r>
      <w:r w:rsidR="0016707F" w:rsidRPr="007E40FA">
        <w:rPr>
          <w:rFonts w:ascii="Times New Roman" w:eastAsiaTheme="minorHAnsi" w:hAnsi="Times New Roman"/>
          <w:sz w:val="24"/>
          <w:szCs w:val="24"/>
        </w:rPr>
        <w:t>, i</w:t>
      </w:r>
      <w:r w:rsidR="0038557C" w:rsidRPr="007E40FA">
        <w:rPr>
          <w:rFonts w:ascii="Times New Roman" w:eastAsiaTheme="minorHAnsi" w:hAnsi="Times New Roman"/>
          <w:sz w:val="24"/>
          <w:szCs w:val="24"/>
        </w:rPr>
        <w:t>t</w:t>
      </w:r>
      <w:r w:rsidR="0016707F" w:rsidRPr="007E40FA">
        <w:rPr>
          <w:rFonts w:ascii="Times New Roman" w:eastAsiaTheme="minorHAnsi" w:hAnsi="Times New Roman"/>
          <w:sz w:val="24"/>
          <w:szCs w:val="24"/>
        </w:rPr>
        <w:t xml:space="preserve">ems with dim CK/DAPI can be classified as CTCs </w:t>
      </w:r>
      <w:r w:rsidR="0038557C" w:rsidRPr="007E40FA">
        <w:rPr>
          <w:rFonts w:ascii="Times New Roman" w:eastAsiaTheme="minorHAnsi" w:hAnsi="Times New Roman"/>
          <w:sz w:val="24"/>
          <w:szCs w:val="24"/>
        </w:rPr>
        <w:t xml:space="preserve">provided that an intact membrane can be observed in the CK channel and an appropriately sized DAPI image is noted. For category </w:t>
      </w:r>
      <w:r w:rsidR="0036708D" w:rsidRPr="007E40FA">
        <w:rPr>
          <w:rFonts w:ascii="Times New Roman" w:eastAsiaTheme="minorHAnsi" w:hAnsi="Times New Roman"/>
          <w:b/>
          <w:i/>
          <w:sz w:val="24"/>
          <w:szCs w:val="24"/>
        </w:rPr>
        <w:t>(5)</w:t>
      </w:r>
      <w:r w:rsidR="0038557C" w:rsidRPr="007E40FA">
        <w:rPr>
          <w:rFonts w:ascii="Times New Roman" w:eastAsiaTheme="minorHAnsi" w:hAnsi="Times New Roman"/>
          <w:sz w:val="24"/>
          <w:szCs w:val="24"/>
        </w:rPr>
        <w:t xml:space="preserve">, items with pixelated CK/DAPI cannot be classified as CTCs if </w:t>
      </w:r>
      <w:r w:rsidR="0036708D" w:rsidRPr="007E40FA">
        <w:rPr>
          <w:rFonts w:ascii="Times New Roman" w:eastAsiaTheme="minorHAnsi" w:hAnsi="Times New Roman"/>
          <w:i/>
          <w:sz w:val="24"/>
          <w:szCs w:val="24"/>
        </w:rPr>
        <w:t>any</w:t>
      </w:r>
      <w:r w:rsidR="0038557C" w:rsidRPr="007E40FA">
        <w:rPr>
          <w:rFonts w:ascii="Times New Roman" w:eastAsiaTheme="minorHAnsi" w:hAnsi="Times New Roman"/>
          <w:sz w:val="24"/>
          <w:szCs w:val="24"/>
        </w:rPr>
        <w:t xml:space="preserve"> </w:t>
      </w:r>
      <w:proofErr w:type="spellStart"/>
      <w:r w:rsidR="0038557C" w:rsidRPr="007E40FA">
        <w:rPr>
          <w:rFonts w:ascii="Times New Roman" w:eastAsiaTheme="minorHAnsi" w:hAnsi="Times New Roman"/>
          <w:sz w:val="24"/>
          <w:szCs w:val="24"/>
        </w:rPr>
        <w:t>pixelation</w:t>
      </w:r>
      <w:proofErr w:type="spellEnd"/>
      <w:r w:rsidR="0038557C" w:rsidRPr="007E40FA">
        <w:rPr>
          <w:rFonts w:ascii="Times New Roman" w:eastAsiaTheme="minorHAnsi" w:hAnsi="Times New Roman"/>
          <w:sz w:val="24"/>
          <w:szCs w:val="24"/>
        </w:rPr>
        <w:t xml:space="preserve"> i</w:t>
      </w:r>
      <w:r w:rsidR="00C12787" w:rsidRPr="007E40FA">
        <w:rPr>
          <w:rFonts w:ascii="Times New Roman" w:eastAsiaTheme="minorHAnsi" w:hAnsi="Times New Roman"/>
          <w:sz w:val="24"/>
          <w:szCs w:val="24"/>
        </w:rPr>
        <w:t>s observed in the CK channel</w:t>
      </w:r>
      <w:r w:rsidR="00955BAB" w:rsidRPr="007E40FA">
        <w:rPr>
          <w:rFonts w:ascii="Times New Roman" w:eastAsiaTheme="minorHAnsi" w:hAnsi="Times New Roman"/>
          <w:sz w:val="24"/>
          <w:szCs w:val="24"/>
        </w:rPr>
        <w:t>.</w:t>
      </w:r>
      <w:r w:rsidR="00C12787" w:rsidRPr="007E40FA">
        <w:rPr>
          <w:rFonts w:ascii="Times New Roman" w:eastAsiaTheme="minorHAnsi" w:hAnsi="Times New Roman"/>
          <w:sz w:val="24"/>
          <w:szCs w:val="24"/>
        </w:rPr>
        <w:t xml:space="preserve"> However</w:t>
      </w:r>
      <w:r w:rsidR="00955BAB" w:rsidRPr="007E40FA">
        <w:rPr>
          <w:rFonts w:ascii="Times New Roman" w:eastAsiaTheme="minorHAnsi" w:hAnsi="Times New Roman"/>
          <w:sz w:val="24"/>
          <w:szCs w:val="24"/>
        </w:rPr>
        <w:t>,</w:t>
      </w:r>
      <w:r w:rsidR="00C12787" w:rsidRPr="007E40FA">
        <w:rPr>
          <w:rFonts w:ascii="Times New Roman" w:eastAsiaTheme="minorHAnsi" w:hAnsi="Times New Roman"/>
          <w:sz w:val="24"/>
          <w:szCs w:val="24"/>
        </w:rPr>
        <w:t xml:space="preserve"> </w:t>
      </w:r>
      <w:proofErr w:type="spellStart"/>
      <w:r w:rsidR="0038557C" w:rsidRPr="007E40FA">
        <w:rPr>
          <w:rFonts w:ascii="Times New Roman" w:eastAsiaTheme="minorHAnsi" w:hAnsi="Times New Roman"/>
          <w:sz w:val="24"/>
          <w:szCs w:val="24"/>
        </w:rPr>
        <w:t>pixelation</w:t>
      </w:r>
      <w:proofErr w:type="spellEnd"/>
      <w:r w:rsidR="00C12787" w:rsidRPr="007E40FA">
        <w:rPr>
          <w:rFonts w:ascii="Times New Roman" w:eastAsiaTheme="minorHAnsi" w:hAnsi="Times New Roman"/>
          <w:sz w:val="24"/>
          <w:szCs w:val="24"/>
        </w:rPr>
        <w:t xml:space="preserve"> is acceptable in the </w:t>
      </w:r>
      <w:r w:rsidR="0038557C" w:rsidRPr="007E40FA">
        <w:rPr>
          <w:rFonts w:ascii="Times New Roman" w:eastAsiaTheme="minorHAnsi" w:hAnsi="Times New Roman"/>
          <w:sz w:val="24"/>
          <w:szCs w:val="24"/>
        </w:rPr>
        <w:t xml:space="preserve">DAPI channel </w:t>
      </w:r>
      <w:r w:rsidR="00C12787" w:rsidRPr="007E40FA">
        <w:rPr>
          <w:rFonts w:ascii="Times New Roman" w:eastAsiaTheme="minorHAnsi" w:hAnsi="Times New Roman"/>
          <w:sz w:val="24"/>
          <w:szCs w:val="24"/>
        </w:rPr>
        <w:t xml:space="preserve">provided that it </w:t>
      </w:r>
      <w:r w:rsidR="0038557C" w:rsidRPr="007E40FA">
        <w:rPr>
          <w:rFonts w:ascii="Times New Roman" w:eastAsiaTheme="minorHAnsi" w:hAnsi="Times New Roman"/>
          <w:sz w:val="24"/>
          <w:szCs w:val="24"/>
        </w:rPr>
        <w:t xml:space="preserve">is </w:t>
      </w:r>
      <w:r w:rsidR="00C12787" w:rsidRPr="007E40FA">
        <w:rPr>
          <w:rFonts w:ascii="Times New Roman" w:eastAsiaTheme="minorHAnsi" w:hAnsi="Times New Roman"/>
          <w:sz w:val="24"/>
          <w:szCs w:val="24"/>
        </w:rPr>
        <w:t xml:space="preserve">not </w:t>
      </w:r>
      <w:r w:rsidR="0038557C" w:rsidRPr="007E40FA">
        <w:rPr>
          <w:rFonts w:ascii="Times New Roman" w:eastAsiaTheme="minorHAnsi" w:hAnsi="Times New Roman"/>
          <w:sz w:val="24"/>
          <w:szCs w:val="24"/>
        </w:rPr>
        <w:t>too severe (</w:t>
      </w:r>
      <w:r w:rsidR="00C12787" w:rsidRPr="007E40FA">
        <w:rPr>
          <w:rFonts w:ascii="Times New Roman" w:eastAsiaTheme="minorHAnsi" w:hAnsi="Times New Roman"/>
          <w:sz w:val="24"/>
          <w:szCs w:val="24"/>
        </w:rPr>
        <w:t xml:space="preserve">i.e., </w:t>
      </w:r>
      <w:r w:rsidR="00FF7709" w:rsidRPr="007E40FA">
        <w:rPr>
          <w:rFonts w:ascii="Times New Roman" w:eastAsiaTheme="minorHAnsi" w:hAnsi="Times New Roman"/>
          <w:sz w:val="24"/>
          <w:szCs w:val="24"/>
        </w:rPr>
        <w:t>image is entirely white on a background, no grey areas</w:t>
      </w:r>
      <w:r w:rsidR="0038557C" w:rsidRPr="007E40FA">
        <w:rPr>
          <w:rFonts w:ascii="Times New Roman" w:eastAsiaTheme="minorHAnsi" w:hAnsi="Times New Roman"/>
          <w:sz w:val="24"/>
          <w:szCs w:val="24"/>
        </w:rPr>
        <w:t xml:space="preserve">—described by </w:t>
      </w:r>
      <w:r w:rsidR="00DA459D" w:rsidRPr="007E40FA">
        <w:rPr>
          <w:rFonts w:ascii="Times New Roman" w:eastAsiaTheme="minorHAnsi" w:hAnsi="Times New Roman"/>
          <w:sz w:val="24"/>
          <w:szCs w:val="24"/>
        </w:rPr>
        <w:t xml:space="preserve">Janssen Diagnostics (formerly </w:t>
      </w:r>
      <w:proofErr w:type="spellStart"/>
      <w:r w:rsidR="00DA459D" w:rsidRPr="007E40FA">
        <w:rPr>
          <w:rFonts w:ascii="Times New Roman" w:eastAsiaTheme="minorHAnsi" w:hAnsi="Times New Roman"/>
          <w:sz w:val="24"/>
          <w:szCs w:val="24"/>
        </w:rPr>
        <w:t>Veridex</w:t>
      </w:r>
      <w:proofErr w:type="spellEnd"/>
      <w:r w:rsidR="00DA459D" w:rsidRPr="007E40FA">
        <w:rPr>
          <w:rFonts w:ascii="Times New Roman" w:eastAsiaTheme="minorHAnsi" w:hAnsi="Times New Roman"/>
          <w:sz w:val="24"/>
          <w:szCs w:val="24"/>
        </w:rPr>
        <w:t xml:space="preserve">) </w:t>
      </w:r>
      <w:r w:rsidR="0038557C" w:rsidRPr="007E40FA">
        <w:rPr>
          <w:rFonts w:ascii="Times New Roman" w:eastAsiaTheme="minorHAnsi" w:hAnsi="Times New Roman"/>
          <w:sz w:val="24"/>
          <w:szCs w:val="24"/>
        </w:rPr>
        <w:t>as white paint on a black background) or diffuse (</w:t>
      </w:r>
      <w:r w:rsidR="00C12787" w:rsidRPr="007E40FA">
        <w:rPr>
          <w:rFonts w:ascii="Times New Roman" w:eastAsiaTheme="minorHAnsi" w:hAnsi="Times New Roman"/>
          <w:sz w:val="24"/>
          <w:szCs w:val="24"/>
        </w:rPr>
        <w:t>must still appear oval in shape and fit within the CK</w:t>
      </w:r>
      <w:r w:rsidR="0038557C" w:rsidRPr="007E40FA">
        <w:rPr>
          <w:rFonts w:ascii="Times New Roman" w:eastAsiaTheme="minorHAnsi" w:hAnsi="Times New Roman"/>
          <w:sz w:val="24"/>
          <w:szCs w:val="24"/>
        </w:rPr>
        <w:t>).</w:t>
      </w:r>
    </w:p>
    <w:p w:rsidR="00BF056B" w:rsidRPr="007E40FA" w:rsidRDefault="00BF056B" w:rsidP="001F0875">
      <w:pPr>
        <w:pStyle w:val="ListParagraph"/>
        <w:spacing w:line="240" w:lineRule="auto"/>
        <w:ind w:left="0"/>
        <w:jc w:val="both"/>
        <w:rPr>
          <w:rFonts w:ascii="Times New Roman" w:hAnsi="Times New Roman"/>
          <w:sz w:val="24"/>
          <w:szCs w:val="24"/>
        </w:rPr>
      </w:pPr>
    </w:p>
    <w:p w:rsidR="00013A92" w:rsidRPr="007E40FA" w:rsidRDefault="00201C52" w:rsidP="001F0875">
      <w:pPr>
        <w:pStyle w:val="ListParagraph"/>
        <w:spacing w:line="240" w:lineRule="auto"/>
        <w:ind w:left="0"/>
        <w:jc w:val="both"/>
        <w:rPr>
          <w:rFonts w:ascii="Times New Roman" w:hAnsi="Times New Roman"/>
          <w:b/>
          <w:sz w:val="24"/>
          <w:szCs w:val="24"/>
        </w:rPr>
      </w:pPr>
      <w:r w:rsidRPr="007E40FA">
        <w:rPr>
          <w:rFonts w:ascii="Times New Roman" w:hAnsi="Times New Roman"/>
          <w:b/>
          <w:sz w:val="24"/>
          <w:szCs w:val="24"/>
        </w:rPr>
        <w:t>User-Defined Marker Assay Development</w:t>
      </w:r>
    </w:p>
    <w:p w:rsidR="005C0375" w:rsidRPr="007E40FA" w:rsidRDefault="006A040F" w:rsidP="005C0375">
      <w:pPr>
        <w:pStyle w:val="ListParagraph"/>
        <w:spacing w:line="240" w:lineRule="auto"/>
        <w:ind w:left="0"/>
        <w:jc w:val="both"/>
        <w:rPr>
          <w:rFonts w:ascii="Times New Roman" w:hAnsi="Times New Roman"/>
          <w:sz w:val="24"/>
          <w:szCs w:val="24"/>
        </w:rPr>
      </w:pPr>
      <w:r w:rsidRPr="007E40FA">
        <w:rPr>
          <w:rFonts w:ascii="Times New Roman" w:hAnsi="Times New Roman"/>
          <w:sz w:val="24"/>
          <w:szCs w:val="24"/>
        </w:rPr>
        <w:t xml:space="preserve">Adaptation of the </w:t>
      </w:r>
      <w:r w:rsidR="004C0272" w:rsidRPr="007E40FA">
        <w:rPr>
          <w:rFonts w:ascii="Times New Roman" w:hAnsi="Times New Roman"/>
          <w:sz w:val="24"/>
          <w:szCs w:val="24"/>
        </w:rPr>
        <w:t>CSS</w:t>
      </w:r>
      <w:r w:rsidRPr="007E40FA">
        <w:rPr>
          <w:rFonts w:ascii="Times New Roman" w:hAnsi="Times New Roman"/>
          <w:sz w:val="24"/>
          <w:szCs w:val="24"/>
        </w:rPr>
        <w:t xml:space="preserve"> to characterize CTCs for user-defined markers requires significant work-up with rigorous controls</w:t>
      </w:r>
      <w:r w:rsidR="00A840B1" w:rsidRPr="007E40FA">
        <w:rPr>
          <w:rFonts w:ascii="Times New Roman" w:hAnsi="Times New Roman"/>
          <w:sz w:val="24"/>
          <w:szCs w:val="24"/>
        </w:rPr>
        <w:t xml:space="preserve"> and has been described previously</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"10.1002/cyto.a.22158", "ISSN" : "1552-4930", "PMID" : "22899576", "abstract" : "The majority of cancer-related deaths result from metastasis, which has been associated with the presence of circulating tumor cells (CTCs). It has been shown that CTC cut-off values exist that predict for poorer overall survival in metastatic breast (\u22655), prostate (\u22655), and colorectal (\u22653) cancer based on assessment of 7.5 ml of blood. Development of the CellSearch\u00ae system (Veridex) has allowed for sensitive enumeration of CTCs. In the current study, protocols were developed and optimized for use with the CellSearch system to characterize CTCs with respect to user-defined protein markers of interest in human blood samples, including the cancer stem cell marker CD44 and the apoptosis marker M-30. Flow cytometry (FCM) experiments were initially carried out to assess expression of CD44 and M-30 on MDA-MB-468 human tumor cells. Human blood samples were then spiked with MDA-MB-468 cells and processed with the appropriate antibody (CD44/M-30) on the CellSearch. Detailed optimization of CD44 was carried out on the CellSearch using various antibody concentrations, exposure times, and cell lines with varying CD44 expression. Troubleshooting experiments were undertaken to explain observed discrepancies between FCM and CellSearch results for the M-30 marker. After extensive optimization, the best CD44/M-30 concentrations and exposure times were determined to be 1.5/3.5 \u03bcg/ml and 0.2/0.8 s, respectively. The percentage of CD44(+) tumor cells was 99.5 \u00b1 0.39% by FCM and 98.8 \u00b1 0.51% by the CellSearch system. The percentage of M-30(+) tumor cells following paclitaxel treatment was 17.6 \u00b1 1.18% by FCM and 10.9 \u00b1 2.41% by CellSearch. Proper optimization of the CD44 marker was achieved; however, M-30 does not appear to be a suitable marker for use in this platform. Taken together, the current study provides a detailed description of the process of user-defined protein marker development and optimization using the CellSearch, and will be an important resource for the future development of protein marker assays by users of this platform.", "author" : [ { "dropping-particle" : "", "family" : "Lowes", "given" : "Lori E", "non-dropping-particle" : "", "parse-names" : false, "suffix" : "" }, { "dropping-particle" : "", "family" : "Hedley", "given" : "Benjamin D", "non-dropping-particle" : "", "parse-names" : false, "suffix" : "" }, { "dropping-particle" : "", "family" : "Keeney", "given" : "Mike", "non-dropping-particle" : "", "parse-names" : false, "suffix" : "" }, { "dropping-particle" : "", "family" : "Allan", "given" : "Alison L", "non-dropping-particle" : "", "parse-names" : false, "suffix" : "" } ], "container-title" : "Cytometry. Part A : the journal of the International Society for Analytical Cytology", "id" : "ITEM-1", "issue" : "11", "issued" : { "date-parts" : [ [ "2012", "11" ] ] }, "page" : "983-95", "title" : "User-defined protein marker assay development for characterization of circulating tumor cells using the CellSearch\u00ae system.", "type" : "article-journal", "volume" : "81" }, "uris" : [ "http://www.mendeley.com/documents/?uuid=a9a3aebd-cff0-4e16-8c3a-76b63633aab6" ] } ], "mendeley" : { "previouslyFormattedCitation" : "&lt;sup&gt;16&lt;/sup&gt;"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16</w:t>
      </w:r>
      <w:r w:rsidR="0036708D" w:rsidRPr="007E40FA">
        <w:rPr>
          <w:rFonts w:ascii="Times New Roman" w:hAnsi="Times New Roman"/>
          <w:sz w:val="24"/>
          <w:szCs w:val="24"/>
        </w:rPr>
        <w:fldChar w:fldCharType="end"/>
      </w:r>
      <w:r w:rsidRPr="007E40FA">
        <w:rPr>
          <w:rFonts w:ascii="Times New Roman" w:hAnsi="Times New Roman"/>
          <w:sz w:val="24"/>
          <w:szCs w:val="24"/>
        </w:rPr>
        <w:t xml:space="preserve">. </w:t>
      </w:r>
      <w:r w:rsidR="005C0375" w:rsidRPr="007E40FA">
        <w:rPr>
          <w:rFonts w:ascii="Times New Roman" w:hAnsi="Times New Roman"/>
          <w:sz w:val="24"/>
          <w:szCs w:val="24"/>
        </w:rPr>
        <w:t xml:space="preserve">As a general rule, appropriate optimization of any user-defined marker requires that negative controls be employed to ensure that results are specific. The best results are obtained when spiked samples are processed with both a non-specific </w:t>
      </w:r>
      <w:proofErr w:type="spellStart"/>
      <w:r w:rsidR="005C0375" w:rsidRPr="007E40FA">
        <w:rPr>
          <w:rFonts w:ascii="Times New Roman" w:hAnsi="Times New Roman"/>
          <w:sz w:val="24"/>
          <w:szCs w:val="24"/>
        </w:rPr>
        <w:t>IgG</w:t>
      </w:r>
      <w:proofErr w:type="spellEnd"/>
      <w:r w:rsidR="005C0375" w:rsidRPr="007E40FA">
        <w:rPr>
          <w:rFonts w:ascii="Times New Roman" w:hAnsi="Times New Roman"/>
          <w:sz w:val="24"/>
          <w:szCs w:val="24"/>
        </w:rPr>
        <w:t xml:space="preserve"> control in place of the target antibody and with the antibody diluent alone as described previously. Various target antibody concentrations and exposure times should also be assessed and validated using cell lines with high</w:t>
      </w:r>
      <w:r w:rsidR="00BA6488" w:rsidRPr="007E40FA">
        <w:rPr>
          <w:rFonts w:ascii="Times New Roman" w:hAnsi="Times New Roman"/>
          <w:sz w:val="24"/>
          <w:szCs w:val="24"/>
        </w:rPr>
        <w:t>, low, and absent</w:t>
      </w:r>
      <w:r w:rsidR="005C0375" w:rsidRPr="007E40FA">
        <w:rPr>
          <w:rFonts w:ascii="Times New Roman" w:hAnsi="Times New Roman"/>
          <w:sz w:val="24"/>
          <w:szCs w:val="24"/>
        </w:rPr>
        <w:t xml:space="preserve"> </w:t>
      </w:r>
      <w:r w:rsidR="00BA6488" w:rsidRPr="007E40FA">
        <w:rPr>
          <w:rFonts w:ascii="Times New Roman" w:hAnsi="Times New Roman"/>
          <w:sz w:val="24"/>
          <w:szCs w:val="24"/>
        </w:rPr>
        <w:t>(negative) antigen densities.</w:t>
      </w:r>
      <w:r w:rsidR="005C0375" w:rsidRPr="007E40FA">
        <w:rPr>
          <w:rFonts w:ascii="Times New Roman" w:hAnsi="Times New Roman"/>
          <w:sz w:val="24"/>
          <w:szCs w:val="24"/>
        </w:rPr>
        <w:t xml:space="preserve"> Optimal protocol conditions are achieved when the assay demonstrates both high sensitivity for the target antigen and low background noise from non-specific binding</w:t>
      </w:r>
      <w:r w:rsidR="0036708D" w:rsidRPr="007E40FA">
        <w:rPr>
          <w:rFonts w:ascii="Times New Roman" w:hAnsi="Times New Roman"/>
          <w:sz w:val="24"/>
          <w:szCs w:val="24"/>
        </w:rPr>
        <w:fldChar w:fldCharType="begin" w:fldLock="1"/>
      </w:r>
      <w:r w:rsidR="00BA6488" w:rsidRPr="007E40FA">
        <w:rPr>
          <w:rFonts w:ascii="Times New Roman" w:hAnsi="Times New Roman"/>
          <w:sz w:val="24"/>
          <w:szCs w:val="24"/>
        </w:rPr>
        <w:instrText>ADDIN CSL_CITATION { "citationItems" : [ { "id" : "ITEM-1", "itemData" : { "DOI" : "10.1002/cyto.a.22158", "ISSN" : "1552-4930", "PMID" : "22899576", "abstract" : "The majority of cancer-related deaths result from metastasis, which has been associated with the presence of circulating tumor cells (CTCs). It has been shown that CTC cut-off values exist that predict for poorer overall survival in metastatic breast (\u22655), prostate (\u22655), and colorectal (\u22653) cancer based on assessment of 7.5 ml of blood. Development of the CellSearch\u00ae system (Veridex) has allowed for sensitive enumeration of CTCs. In the current study, protocols were developed and optimized for use with the CellSearch system to characterize CTCs with respect to user-defined protein markers of interest in human blood samples, including the cancer stem cell marker CD44 and the apoptosis marker M-30. Flow cytometry (FCM) experiments were initially carried out to assess expression of CD44 and M-30 on MDA-MB-468 human tumor cells. Human blood samples were then spiked with MDA-MB-468 cells and processed with the appropriate antibody (CD44/M-30) on the CellSearch. Detailed optimization of CD44 was carried out on the CellSearch using various antibody concentrations, exposure times, and cell lines with varying CD44 expression. Troubleshooting experiments were undertaken to explain observed discrepancies between FCM and CellSearch results for the M-30 marker. After extensive optimization, the best CD44/M-30 concentrations and exposure times were determined to be 1.5/3.5 \u03bcg/ml and 0.2/0.8 s, respectively. The percentage of CD44(+) tumor cells was 99.5 \u00b1 0.39% by FCM and 98.8 \u00b1 0.51% by the CellSearch system. The percentage of M-30(+) tumor cells following paclitaxel treatment was 17.6 \u00b1 1.18% by FCM and 10.9 \u00b1 2.41% by CellSearch. Proper optimization of the CD44 marker was achieved; however, M-30 does not appear to be a suitable marker for use in this platform. Taken together, the current study provides a detailed description of the process of user-defined protein marker development and optimization using the CellSearch, and will be an important resource for the future development of protein marker assays by users of this platform.", "author" : [ { "dropping-particle" : "", "family" : "Lowes", "given" : "Lori E", "non-dropping-particle" : "", "parse-names" : false, "suffix" : "" }, { "dropping-particle" : "", "family" : "Hedley", "given" : "Benjamin D", "non-dropping-particle" : "", "parse-names" : false, "suffix" : "" }, { "dropping-particle" : "", "family" : "Keeney", "given" : "Mike", "non-dropping-particle" : "", "parse-names" : false, "suffix" : "" }, { "dropping-particle" : "", "family" : "Allan", "given" : "Alison L", "non-dropping-particle" : "", "parse-names" : false, "suffix" : "" } ], "container-title" : "Cytometry. Part A : the journal of the International Society for Analytical Cytology", "id" : "ITEM-1", "issue" : "11", "issued" : { "date-parts" : [ [ "2012", "11" ] ] }, "page" : "983-95", "title" : "User-defined protein marker assay development for characterization of circulating tumor cells using the CellSearch\u00ae system.", "type" : "article-journal", "volume" : "81" }, "uris" : [ "http://www.mendeley.com/documents/?uuid=a9a3aebd-cff0-4e16-8c3a-76b63633aab6" ] } ], "mendeley" : { "previouslyFormattedCitation" : "&lt;sup&gt;16&lt;/sup&gt;"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BA6488" w:rsidRPr="007E40FA">
        <w:rPr>
          <w:rFonts w:ascii="Times New Roman" w:hAnsi="Times New Roman"/>
          <w:noProof/>
          <w:sz w:val="24"/>
          <w:szCs w:val="24"/>
          <w:vertAlign w:val="superscript"/>
        </w:rPr>
        <w:t>16</w:t>
      </w:r>
      <w:r w:rsidR="0036708D" w:rsidRPr="007E40FA">
        <w:rPr>
          <w:rFonts w:ascii="Times New Roman" w:hAnsi="Times New Roman"/>
          <w:sz w:val="24"/>
          <w:szCs w:val="24"/>
        </w:rPr>
        <w:fldChar w:fldCharType="end"/>
      </w:r>
      <w:r w:rsidR="005C0375" w:rsidRPr="007E40FA">
        <w:rPr>
          <w:rFonts w:ascii="Times New Roman" w:hAnsi="Times New Roman"/>
          <w:sz w:val="24"/>
          <w:szCs w:val="24"/>
        </w:rPr>
        <w:t>.</w:t>
      </w:r>
      <w:r w:rsidR="005C0375" w:rsidRPr="007E40FA" w:rsidDel="00753352">
        <w:rPr>
          <w:rFonts w:ascii="Times New Roman" w:hAnsi="Times New Roman"/>
          <w:sz w:val="24"/>
          <w:szCs w:val="24"/>
        </w:rPr>
        <w:t xml:space="preserve"> </w:t>
      </w:r>
    </w:p>
    <w:p w:rsidR="00BA6488" w:rsidRPr="007E40FA" w:rsidRDefault="00BA6488" w:rsidP="001F0875">
      <w:pPr>
        <w:pStyle w:val="ListParagraph"/>
        <w:spacing w:line="240" w:lineRule="auto"/>
        <w:ind w:left="0"/>
        <w:jc w:val="both"/>
        <w:rPr>
          <w:rFonts w:ascii="Times New Roman" w:hAnsi="Times New Roman"/>
          <w:sz w:val="24"/>
          <w:szCs w:val="24"/>
        </w:rPr>
      </w:pPr>
    </w:p>
    <w:p w:rsidR="008833B7" w:rsidRPr="007E40FA" w:rsidRDefault="00A840B1" w:rsidP="001F0875">
      <w:pPr>
        <w:pStyle w:val="ListParagraph"/>
        <w:spacing w:line="240" w:lineRule="auto"/>
        <w:ind w:left="0"/>
        <w:jc w:val="both"/>
        <w:rPr>
          <w:rFonts w:ascii="Times New Roman" w:hAnsi="Times New Roman"/>
          <w:sz w:val="24"/>
          <w:szCs w:val="24"/>
        </w:rPr>
      </w:pPr>
      <w:r w:rsidRPr="007E40FA">
        <w:rPr>
          <w:rFonts w:ascii="Times New Roman" w:hAnsi="Times New Roman"/>
          <w:sz w:val="24"/>
          <w:szCs w:val="24"/>
        </w:rPr>
        <w:t>A</w:t>
      </w:r>
      <w:r w:rsidR="006A040F" w:rsidRPr="007E40FA">
        <w:rPr>
          <w:rFonts w:ascii="Times New Roman" w:hAnsi="Times New Roman"/>
          <w:sz w:val="24"/>
          <w:szCs w:val="24"/>
        </w:rPr>
        <w:t>n example of this work-up using a cancer stem cell marker, CD44</w:t>
      </w:r>
      <w:r w:rsidR="00013A92" w:rsidRPr="007E40FA">
        <w:rPr>
          <w:rFonts w:ascii="Times New Roman" w:hAnsi="Times New Roman"/>
          <w:sz w:val="24"/>
          <w:szCs w:val="24"/>
        </w:rPr>
        <w:t>,</w:t>
      </w:r>
      <w:r w:rsidRPr="007E40FA">
        <w:rPr>
          <w:rFonts w:ascii="Times New Roman" w:hAnsi="Times New Roman"/>
          <w:sz w:val="24"/>
          <w:szCs w:val="24"/>
        </w:rPr>
        <w:t xml:space="preserve"> is presented here</w:t>
      </w:r>
      <w:r w:rsidR="006A040F" w:rsidRPr="007E40FA">
        <w:rPr>
          <w:rFonts w:ascii="Times New Roman" w:hAnsi="Times New Roman"/>
          <w:sz w:val="24"/>
          <w:szCs w:val="24"/>
        </w:rPr>
        <w:t xml:space="preserve">. Initial testing with this marker </w:t>
      </w:r>
      <w:r w:rsidR="00EE08B3" w:rsidRPr="007E40FA">
        <w:rPr>
          <w:rFonts w:ascii="Times New Roman" w:hAnsi="Times New Roman"/>
          <w:sz w:val="24"/>
          <w:szCs w:val="24"/>
        </w:rPr>
        <w:t xml:space="preserve">began </w:t>
      </w:r>
      <w:r w:rsidRPr="007E40FA">
        <w:rPr>
          <w:rFonts w:ascii="Times New Roman" w:hAnsi="Times New Roman"/>
          <w:sz w:val="24"/>
          <w:szCs w:val="24"/>
        </w:rPr>
        <w:t>using</w:t>
      </w:r>
      <w:r w:rsidR="006A040F" w:rsidRPr="007E40FA">
        <w:rPr>
          <w:rFonts w:ascii="Times New Roman" w:hAnsi="Times New Roman"/>
          <w:sz w:val="24"/>
          <w:szCs w:val="24"/>
        </w:rPr>
        <w:t xml:space="preserve"> the standard </w:t>
      </w:r>
      <w:r w:rsidR="004C0272" w:rsidRPr="007E40FA">
        <w:rPr>
          <w:rFonts w:ascii="Times New Roman" w:hAnsi="Times New Roman"/>
          <w:sz w:val="24"/>
          <w:szCs w:val="24"/>
        </w:rPr>
        <w:t>CSS</w:t>
      </w:r>
      <w:r w:rsidR="006A040F" w:rsidRPr="007E40FA">
        <w:rPr>
          <w:rFonts w:ascii="Times New Roman" w:hAnsi="Times New Roman"/>
          <w:sz w:val="24"/>
          <w:szCs w:val="24"/>
        </w:rPr>
        <w:t xml:space="preserve"> CTC kit</w:t>
      </w:r>
      <w:r w:rsidR="001723FC" w:rsidRPr="007E40FA">
        <w:rPr>
          <w:rFonts w:ascii="Times New Roman" w:hAnsi="Times New Roman"/>
          <w:sz w:val="24"/>
          <w:szCs w:val="24"/>
        </w:rPr>
        <w:t xml:space="preserve"> (hereafter referred to as the traditional CTC kit)</w:t>
      </w:r>
      <w:r w:rsidR="00EE08B3" w:rsidRPr="007E40FA">
        <w:rPr>
          <w:rFonts w:ascii="Times New Roman" w:hAnsi="Times New Roman"/>
          <w:sz w:val="24"/>
          <w:szCs w:val="24"/>
        </w:rPr>
        <w:t>,</w:t>
      </w:r>
      <w:r w:rsidR="006A040F" w:rsidRPr="007E40FA">
        <w:rPr>
          <w:rFonts w:ascii="Times New Roman" w:hAnsi="Times New Roman"/>
          <w:sz w:val="24"/>
          <w:szCs w:val="24"/>
        </w:rPr>
        <w:t xml:space="preserve"> which utilizes the FITC channel for user-defined marker development. Using th</w:t>
      </w:r>
      <w:r w:rsidR="001723FC" w:rsidRPr="007E40FA">
        <w:rPr>
          <w:rFonts w:ascii="Times New Roman" w:hAnsi="Times New Roman"/>
          <w:sz w:val="24"/>
          <w:szCs w:val="24"/>
        </w:rPr>
        <w:t>e traditional CTC</w:t>
      </w:r>
      <w:r w:rsidR="006A040F" w:rsidRPr="007E40FA">
        <w:rPr>
          <w:rFonts w:ascii="Times New Roman" w:hAnsi="Times New Roman"/>
          <w:sz w:val="24"/>
          <w:szCs w:val="24"/>
        </w:rPr>
        <w:t xml:space="preserve"> kit</w:t>
      </w:r>
      <w:r w:rsidRPr="007E40FA">
        <w:rPr>
          <w:rFonts w:ascii="Times New Roman" w:hAnsi="Times New Roman"/>
          <w:sz w:val="24"/>
          <w:szCs w:val="24"/>
        </w:rPr>
        <w:t>,</w:t>
      </w:r>
      <w:r w:rsidR="006A040F" w:rsidRPr="007E40FA">
        <w:rPr>
          <w:rFonts w:ascii="Times New Roman" w:hAnsi="Times New Roman"/>
          <w:sz w:val="24"/>
          <w:szCs w:val="24"/>
        </w:rPr>
        <w:t xml:space="preserve"> </w:t>
      </w:r>
      <w:r w:rsidRPr="007E40FA">
        <w:rPr>
          <w:rFonts w:ascii="Times New Roman" w:hAnsi="Times New Roman"/>
          <w:sz w:val="24"/>
          <w:szCs w:val="24"/>
        </w:rPr>
        <w:t xml:space="preserve">it was </w:t>
      </w:r>
      <w:r w:rsidR="006A040F" w:rsidRPr="007E40FA">
        <w:rPr>
          <w:rFonts w:ascii="Times New Roman" w:hAnsi="Times New Roman"/>
          <w:sz w:val="24"/>
          <w:szCs w:val="24"/>
        </w:rPr>
        <w:t>demonstrated that</w:t>
      </w:r>
      <w:r w:rsidRPr="007E40FA">
        <w:rPr>
          <w:rFonts w:ascii="Times New Roman" w:hAnsi="Times New Roman"/>
          <w:sz w:val="24"/>
          <w:szCs w:val="24"/>
        </w:rPr>
        <w:t xml:space="preserve">, </w:t>
      </w:r>
      <w:bookmarkStart w:id="1" w:name="OLE_LINK1"/>
      <w:r w:rsidRPr="007E40FA">
        <w:rPr>
          <w:rFonts w:ascii="Times New Roman" w:hAnsi="Times New Roman"/>
          <w:sz w:val="24"/>
          <w:szCs w:val="24"/>
        </w:rPr>
        <w:t>after significant optimization,</w:t>
      </w:r>
      <w:bookmarkEnd w:id="1"/>
      <w:r w:rsidRPr="007E40FA">
        <w:rPr>
          <w:rFonts w:ascii="Times New Roman" w:hAnsi="Times New Roman"/>
          <w:sz w:val="24"/>
          <w:szCs w:val="24"/>
        </w:rPr>
        <w:t xml:space="preserve"> the maximum number of CTCs that could be classified as CD44</w:t>
      </w:r>
      <w:r w:rsidRPr="007E40FA">
        <w:rPr>
          <w:rFonts w:ascii="Times New Roman" w:hAnsi="Times New Roman"/>
          <w:sz w:val="24"/>
          <w:szCs w:val="24"/>
          <w:vertAlign w:val="superscript"/>
        </w:rPr>
        <w:t>+</w:t>
      </w:r>
      <w:r w:rsidRPr="007E40FA">
        <w:rPr>
          <w:rFonts w:ascii="Times New Roman" w:hAnsi="Times New Roman"/>
          <w:sz w:val="24"/>
          <w:szCs w:val="24"/>
        </w:rPr>
        <w:t xml:space="preserve"> was 69.3±2.67% using </w:t>
      </w:r>
      <w:r w:rsidR="00EE08B3" w:rsidRPr="007E40FA">
        <w:rPr>
          <w:rFonts w:ascii="Times New Roman" w:hAnsi="Times New Roman"/>
          <w:sz w:val="24"/>
          <w:szCs w:val="24"/>
        </w:rPr>
        <w:t xml:space="preserve">samples spiked </w:t>
      </w:r>
      <w:r w:rsidRPr="007E40FA">
        <w:rPr>
          <w:rFonts w:ascii="Times New Roman" w:hAnsi="Times New Roman"/>
          <w:sz w:val="24"/>
          <w:szCs w:val="24"/>
        </w:rPr>
        <w:t>with 1</w:t>
      </w:r>
      <w:r w:rsidR="000C7419" w:rsidRPr="007E40FA">
        <w:rPr>
          <w:rFonts w:ascii="Times New Roman" w:hAnsi="Times New Roman"/>
          <w:sz w:val="24"/>
          <w:szCs w:val="24"/>
        </w:rPr>
        <w:t>,</w:t>
      </w:r>
      <w:r w:rsidRPr="007E40FA">
        <w:rPr>
          <w:rFonts w:ascii="Times New Roman" w:hAnsi="Times New Roman"/>
          <w:sz w:val="24"/>
          <w:szCs w:val="24"/>
        </w:rPr>
        <w:t>000 MDA-MB-468 human breast cancer cells, known to demonstrate high CD44 expression with the majority of cells (98.4±</w:t>
      </w:r>
      <w:r w:rsidR="00EE08B3" w:rsidRPr="007E40FA">
        <w:rPr>
          <w:rFonts w:ascii="Times New Roman" w:hAnsi="Times New Roman"/>
          <w:sz w:val="24"/>
          <w:szCs w:val="24"/>
        </w:rPr>
        <w:t xml:space="preserve">0.90%; as determined by flow </w:t>
      </w:r>
      <w:proofErr w:type="spellStart"/>
      <w:r w:rsidR="00EE08B3" w:rsidRPr="007E40FA">
        <w:rPr>
          <w:rFonts w:ascii="Times New Roman" w:hAnsi="Times New Roman"/>
          <w:sz w:val="24"/>
          <w:szCs w:val="24"/>
        </w:rPr>
        <w:t>cytometry</w:t>
      </w:r>
      <w:proofErr w:type="spellEnd"/>
      <w:r w:rsidR="00EE08B3" w:rsidRPr="007E40FA">
        <w:rPr>
          <w:rFonts w:ascii="Times New Roman" w:hAnsi="Times New Roman"/>
          <w:sz w:val="24"/>
          <w:szCs w:val="24"/>
        </w:rPr>
        <w:t xml:space="preserve">) </w:t>
      </w:r>
      <w:r w:rsidRPr="007E40FA">
        <w:rPr>
          <w:rFonts w:ascii="Times New Roman" w:hAnsi="Times New Roman"/>
          <w:sz w:val="24"/>
          <w:szCs w:val="24"/>
        </w:rPr>
        <w:t xml:space="preserve">expressing </w:t>
      </w:r>
      <w:r w:rsidRPr="007E40FA">
        <w:rPr>
          <w:rFonts w:ascii="Times New Roman" w:hAnsi="Times New Roman"/>
          <w:sz w:val="24"/>
          <w:szCs w:val="24"/>
        </w:rPr>
        <w:lastRenderedPageBreak/>
        <w:t xml:space="preserve">this protein </w:t>
      </w:r>
      <w:r w:rsidR="006A040F" w:rsidRPr="007E40FA">
        <w:rPr>
          <w:rFonts w:ascii="Times New Roman" w:hAnsi="Times New Roman"/>
          <w:b/>
          <w:sz w:val="24"/>
          <w:szCs w:val="24"/>
        </w:rPr>
        <w:t>(Figure 2A)</w:t>
      </w:r>
      <w:r w:rsidR="006A040F" w:rsidRPr="007E40FA">
        <w:rPr>
          <w:rFonts w:ascii="Times New Roman" w:hAnsi="Times New Roman"/>
          <w:sz w:val="24"/>
          <w:szCs w:val="24"/>
        </w:rPr>
        <w:t xml:space="preserve">. </w:t>
      </w:r>
      <w:r w:rsidR="009A13A1" w:rsidRPr="007E40FA">
        <w:rPr>
          <w:rFonts w:ascii="Times New Roman" w:hAnsi="Times New Roman"/>
          <w:sz w:val="24"/>
          <w:szCs w:val="24"/>
        </w:rPr>
        <w:t xml:space="preserve">Based upon these findings it was hypothesized that the commercially available </w:t>
      </w:r>
      <w:r w:rsidR="004C0272" w:rsidRPr="007E40FA">
        <w:rPr>
          <w:rFonts w:ascii="Times New Roman" w:hAnsi="Times New Roman"/>
          <w:sz w:val="24"/>
          <w:szCs w:val="24"/>
        </w:rPr>
        <w:t>CSS</w:t>
      </w:r>
      <w:r w:rsidR="009A13A1" w:rsidRPr="007E40FA">
        <w:rPr>
          <w:rFonts w:ascii="Times New Roman" w:hAnsi="Times New Roman"/>
          <w:sz w:val="24"/>
          <w:szCs w:val="24"/>
        </w:rPr>
        <w:t xml:space="preserve"> CXC kit might produce improved results. Th</w:t>
      </w:r>
      <w:r w:rsidR="001723FC" w:rsidRPr="007E40FA">
        <w:rPr>
          <w:rFonts w:ascii="Times New Roman" w:hAnsi="Times New Roman"/>
          <w:sz w:val="24"/>
          <w:szCs w:val="24"/>
        </w:rPr>
        <w:t xml:space="preserve">is </w:t>
      </w:r>
      <w:r w:rsidR="009A13A1" w:rsidRPr="007E40FA">
        <w:rPr>
          <w:rFonts w:ascii="Times New Roman" w:hAnsi="Times New Roman"/>
          <w:sz w:val="24"/>
          <w:szCs w:val="24"/>
        </w:rPr>
        <w:t xml:space="preserve">kit allows for improved visualization of markers with a lower antigen density (~50,000 antigens/cell) compared with the </w:t>
      </w:r>
      <w:r w:rsidR="001723FC" w:rsidRPr="007E40FA">
        <w:rPr>
          <w:rFonts w:ascii="Times New Roman" w:hAnsi="Times New Roman"/>
          <w:sz w:val="24"/>
          <w:szCs w:val="24"/>
        </w:rPr>
        <w:t>traditional</w:t>
      </w:r>
      <w:r w:rsidR="009A13A1" w:rsidRPr="007E40FA">
        <w:rPr>
          <w:rFonts w:ascii="Times New Roman" w:hAnsi="Times New Roman"/>
          <w:sz w:val="24"/>
          <w:szCs w:val="24"/>
        </w:rPr>
        <w:t xml:space="preserve"> CTC kit (optimized for markers with a density of ~100,000 antigens/cell) by reversing the fluorescence channel in which the CK8/18/19 (</w:t>
      </w:r>
      <w:r w:rsidR="009724BA" w:rsidRPr="007E40FA">
        <w:rPr>
          <w:rFonts w:ascii="Times New Roman" w:hAnsi="Times New Roman"/>
          <w:sz w:val="24"/>
          <w:szCs w:val="24"/>
        </w:rPr>
        <w:t xml:space="preserve">traditionally </w:t>
      </w:r>
      <w:r w:rsidR="009A13A1" w:rsidRPr="007E40FA">
        <w:rPr>
          <w:rFonts w:ascii="Times New Roman" w:hAnsi="Times New Roman"/>
          <w:sz w:val="24"/>
          <w:szCs w:val="24"/>
        </w:rPr>
        <w:t>represented in the PE channel) and the user’s marker of interest (</w:t>
      </w:r>
      <w:r w:rsidR="009724BA" w:rsidRPr="007E40FA">
        <w:rPr>
          <w:rFonts w:ascii="Times New Roman" w:hAnsi="Times New Roman"/>
          <w:sz w:val="24"/>
          <w:szCs w:val="24"/>
        </w:rPr>
        <w:t>traditionally</w:t>
      </w:r>
      <w:r w:rsidR="009A13A1" w:rsidRPr="007E40FA">
        <w:rPr>
          <w:rFonts w:ascii="Times New Roman" w:hAnsi="Times New Roman"/>
          <w:sz w:val="24"/>
          <w:szCs w:val="24"/>
        </w:rPr>
        <w:t xml:space="preserve"> represented in the FITC channel) are represented</w:t>
      </w:r>
      <w:r w:rsidR="001723FC" w:rsidRPr="007E40FA">
        <w:rPr>
          <w:rFonts w:ascii="Times New Roman" w:hAnsi="Times New Roman"/>
          <w:sz w:val="24"/>
          <w:szCs w:val="24"/>
        </w:rPr>
        <w:t xml:space="preserve"> (therefore hereafter the CXC kit will be referred to as the low antigen density CTC kit)</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"author" : [ { "dropping-particle" : "", "family" : "Veridex White Pages.", "given" : "", "non-dropping-particle" : "", "parse-names" : false, "suffix" : "" } ], "id" : "ITEM-1", "issued" : { "date-parts" : [ [ "2008" ] ] }, "title" : "Available at: http://www.veridex.com/pdf/CXC_Application_Guideline.PDF", "type" : "webpage" }, "uris" : [ "http://www.mendeley.com/documents/?uuid=b2fef10e-5804-49d2-b208-f39cda63b2ff" ] } ], "mendeley" : { "previouslyFormattedCitation" : "&lt;sup&gt;26&lt;/sup&gt;"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26</w:t>
      </w:r>
      <w:r w:rsidR="0036708D" w:rsidRPr="007E40FA">
        <w:rPr>
          <w:rFonts w:ascii="Times New Roman" w:hAnsi="Times New Roman"/>
          <w:sz w:val="24"/>
          <w:szCs w:val="24"/>
        </w:rPr>
        <w:fldChar w:fldCharType="end"/>
      </w:r>
      <w:r w:rsidR="009A13A1" w:rsidRPr="007E40FA">
        <w:rPr>
          <w:rFonts w:ascii="Times New Roman" w:hAnsi="Times New Roman"/>
          <w:sz w:val="24"/>
          <w:szCs w:val="24"/>
        </w:rPr>
        <w:t>. After significant optimization, it was demonstrated that this change allowed for improved CD44 staining, with 98.8±0.51% of CTCs classified as CD44</w:t>
      </w:r>
      <w:r w:rsidR="009A13A1" w:rsidRPr="007E40FA">
        <w:rPr>
          <w:rFonts w:ascii="Times New Roman" w:hAnsi="Times New Roman"/>
          <w:sz w:val="24"/>
          <w:szCs w:val="24"/>
          <w:vertAlign w:val="superscript"/>
        </w:rPr>
        <w:t>+</w:t>
      </w:r>
      <w:r w:rsidR="009A13A1" w:rsidRPr="007E40FA">
        <w:rPr>
          <w:rFonts w:ascii="Times New Roman" w:hAnsi="Times New Roman"/>
          <w:sz w:val="24"/>
          <w:szCs w:val="24"/>
        </w:rPr>
        <w:t xml:space="preserve"> using CD44-PE at a concentration of 1.0µg/ml and an exposure time of 0.6s</w:t>
      </w:r>
      <w:r w:rsidR="009724BA" w:rsidRPr="007E40FA">
        <w:rPr>
          <w:rFonts w:ascii="Times New Roman" w:hAnsi="Times New Roman"/>
          <w:sz w:val="24"/>
          <w:szCs w:val="24"/>
        </w:rPr>
        <w:t xml:space="preserve"> </w:t>
      </w:r>
      <w:r w:rsidR="008833B7" w:rsidRPr="007E40FA">
        <w:rPr>
          <w:rFonts w:ascii="Times New Roman" w:hAnsi="Times New Roman"/>
          <w:b/>
          <w:sz w:val="24"/>
          <w:szCs w:val="24"/>
        </w:rPr>
        <w:t>(Figure 2A).</w:t>
      </w:r>
      <w:r w:rsidR="00807AAC" w:rsidRPr="007E40FA">
        <w:rPr>
          <w:rFonts w:ascii="Times New Roman" w:hAnsi="Times New Roman"/>
          <w:b/>
          <w:sz w:val="24"/>
          <w:szCs w:val="24"/>
        </w:rPr>
        <w:t xml:space="preserve"> </w:t>
      </w:r>
      <w:r w:rsidR="00C5393D" w:rsidRPr="007E40FA">
        <w:rPr>
          <w:rFonts w:ascii="Times New Roman" w:hAnsi="Times New Roman"/>
          <w:sz w:val="24"/>
          <w:szCs w:val="24"/>
        </w:rPr>
        <w:t>A</w:t>
      </w:r>
      <w:r w:rsidR="008833B7" w:rsidRPr="007E40FA">
        <w:rPr>
          <w:rFonts w:ascii="Times New Roman" w:hAnsi="Times New Roman"/>
          <w:sz w:val="24"/>
          <w:szCs w:val="24"/>
        </w:rPr>
        <w:t xml:space="preserve">ppropriate optimization of </w:t>
      </w:r>
      <w:r w:rsidR="00807AAC" w:rsidRPr="007E40FA">
        <w:rPr>
          <w:rFonts w:ascii="Times New Roman" w:hAnsi="Times New Roman"/>
          <w:sz w:val="24"/>
          <w:szCs w:val="24"/>
        </w:rPr>
        <w:t xml:space="preserve">any user-defined marker also requires </w:t>
      </w:r>
      <w:r w:rsidR="00065062" w:rsidRPr="007E40FA">
        <w:rPr>
          <w:rFonts w:ascii="Times New Roman" w:hAnsi="Times New Roman"/>
          <w:sz w:val="24"/>
          <w:szCs w:val="24"/>
        </w:rPr>
        <w:t>v</w:t>
      </w:r>
      <w:r w:rsidR="00807AAC" w:rsidRPr="007E40FA">
        <w:rPr>
          <w:rFonts w:ascii="Times New Roman" w:hAnsi="Times New Roman"/>
          <w:sz w:val="24"/>
          <w:szCs w:val="24"/>
        </w:rPr>
        <w:t xml:space="preserve">alidation </w:t>
      </w:r>
      <w:r w:rsidR="00065062" w:rsidRPr="007E40FA">
        <w:rPr>
          <w:rFonts w:ascii="Times New Roman" w:hAnsi="Times New Roman"/>
          <w:sz w:val="24"/>
          <w:szCs w:val="24"/>
        </w:rPr>
        <w:t xml:space="preserve">using </w:t>
      </w:r>
      <w:r w:rsidR="00EE08B3" w:rsidRPr="007E40FA">
        <w:rPr>
          <w:rFonts w:ascii="Times New Roman" w:hAnsi="Times New Roman"/>
          <w:sz w:val="24"/>
          <w:szCs w:val="24"/>
        </w:rPr>
        <w:t>high antigen density (MDA-MB-468)</w:t>
      </w:r>
      <w:r w:rsidR="00807AAC" w:rsidRPr="007E40FA">
        <w:rPr>
          <w:rFonts w:ascii="Times New Roman" w:hAnsi="Times New Roman"/>
          <w:sz w:val="24"/>
          <w:szCs w:val="24"/>
        </w:rPr>
        <w:t xml:space="preserve">, low </w:t>
      </w:r>
      <w:r w:rsidR="00EE08B3" w:rsidRPr="007E40FA">
        <w:rPr>
          <w:rFonts w:ascii="Times New Roman" w:hAnsi="Times New Roman"/>
          <w:sz w:val="24"/>
          <w:szCs w:val="24"/>
        </w:rPr>
        <w:t>antigen density (21NT)</w:t>
      </w:r>
      <w:r w:rsidR="00807AAC" w:rsidRPr="007E40FA">
        <w:rPr>
          <w:rFonts w:ascii="Times New Roman" w:hAnsi="Times New Roman"/>
          <w:sz w:val="24"/>
          <w:szCs w:val="24"/>
        </w:rPr>
        <w:t>, and negative</w:t>
      </w:r>
      <w:r w:rsidR="00EE08B3" w:rsidRPr="007E40FA">
        <w:rPr>
          <w:rFonts w:ascii="Times New Roman" w:hAnsi="Times New Roman"/>
          <w:sz w:val="24"/>
          <w:szCs w:val="24"/>
        </w:rPr>
        <w:t xml:space="preserve"> (</w:t>
      </w:r>
      <w:proofErr w:type="spellStart"/>
      <w:r w:rsidR="00EE08B3" w:rsidRPr="007E40FA">
        <w:rPr>
          <w:rFonts w:ascii="Times New Roman" w:hAnsi="Times New Roman"/>
          <w:sz w:val="24"/>
          <w:szCs w:val="24"/>
        </w:rPr>
        <w:t>LNCaPs</w:t>
      </w:r>
      <w:proofErr w:type="spellEnd"/>
      <w:r w:rsidR="00EE08B3" w:rsidRPr="007E40FA">
        <w:rPr>
          <w:rFonts w:ascii="Times New Roman" w:hAnsi="Times New Roman"/>
          <w:sz w:val="24"/>
          <w:szCs w:val="24"/>
        </w:rPr>
        <w:t>)</w:t>
      </w:r>
      <w:r w:rsidR="00807AAC" w:rsidRPr="007E40FA">
        <w:rPr>
          <w:rFonts w:ascii="Times New Roman" w:hAnsi="Times New Roman"/>
          <w:sz w:val="24"/>
          <w:szCs w:val="24"/>
        </w:rPr>
        <w:t xml:space="preserve"> </w:t>
      </w:r>
      <w:r w:rsidR="00EE08B3" w:rsidRPr="007E40FA">
        <w:rPr>
          <w:rFonts w:ascii="Times New Roman" w:hAnsi="Times New Roman"/>
          <w:sz w:val="24"/>
          <w:szCs w:val="24"/>
        </w:rPr>
        <w:t xml:space="preserve">cell lines </w:t>
      </w:r>
      <w:r w:rsidR="00807AAC" w:rsidRPr="007E40FA">
        <w:rPr>
          <w:rFonts w:ascii="Times New Roman" w:hAnsi="Times New Roman"/>
          <w:sz w:val="24"/>
          <w:szCs w:val="24"/>
        </w:rPr>
        <w:t xml:space="preserve">for </w:t>
      </w:r>
      <w:r w:rsidR="00980147" w:rsidRPr="007E40FA">
        <w:rPr>
          <w:rFonts w:ascii="Times New Roman" w:hAnsi="Times New Roman"/>
          <w:sz w:val="24"/>
          <w:szCs w:val="24"/>
        </w:rPr>
        <w:t>the</w:t>
      </w:r>
      <w:r w:rsidR="00807AAC" w:rsidRPr="007E40FA">
        <w:rPr>
          <w:rFonts w:ascii="Times New Roman" w:hAnsi="Times New Roman"/>
          <w:sz w:val="24"/>
          <w:szCs w:val="24"/>
        </w:rPr>
        <w:t xml:space="preserve"> marker of interest </w:t>
      </w:r>
      <w:r w:rsidR="00807AAC" w:rsidRPr="007E40FA">
        <w:rPr>
          <w:rFonts w:ascii="Times New Roman" w:hAnsi="Times New Roman"/>
          <w:b/>
          <w:sz w:val="24"/>
          <w:szCs w:val="24"/>
        </w:rPr>
        <w:t>(Figure 2B)</w:t>
      </w:r>
      <w:r w:rsidR="00807AAC" w:rsidRPr="007E40FA">
        <w:rPr>
          <w:rFonts w:ascii="Times New Roman" w:hAnsi="Times New Roman"/>
          <w:sz w:val="24"/>
          <w:szCs w:val="24"/>
        </w:rPr>
        <w:t>.</w:t>
      </w:r>
    </w:p>
    <w:p w:rsidR="00BF056B" w:rsidRPr="007E40FA" w:rsidRDefault="00BF056B" w:rsidP="001F0875">
      <w:pPr>
        <w:pStyle w:val="ListParagraph"/>
        <w:spacing w:line="240" w:lineRule="auto"/>
        <w:ind w:left="0"/>
        <w:jc w:val="both"/>
        <w:rPr>
          <w:rFonts w:ascii="Times New Roman" w:hAnsi="Times New Roman"/>
          <w:sz w:val="24"/>
          <w:szCs w:val="24"/>
          <w:u w:val="single"/>
        </w:rPr>
      </w:pPr>
    </w:p>
    <w:p w:rsidR="00013A92" w:rsidRPr="007E40FA" w:rsidRDefault="00201C52" w:rsidP="001F0875">
      <w:pPr>
        <w:pStyle w:val="ListParagraph"/>
        <w:spacing w:line="240" w:lineRule="auto"/>
        <w:ind w:left="0"/>
        <w:jc w:val="both"/>
        <w:rPr>
          <w:rFonts w:ascii="Times New Roman" w:hAnsi="Times New Roman"/>
          <w:b/>
          <w:sz w:val="24"/>
          <w:szCs w:val="24"/>
        </w:rPr>
      </w:pPr>
      <w:r w:rsidRPr="007E40FA">
        <w:rPr>
          <w:rFonts w:ascii="Times New Roman" w:hAnsi="Times New Roman"/>
          <w:b/>
          <w:sz w:val="24"/>
          <w:szCs w:val="24"/>
        </w:rPr>
        <w:t>CTC Analysis in Pre-Clinical Mouse Models</w:t>
      </w:r>
    </w:p>
    <w:p w:rsidR="00455918" w:rsidRPr="007E40FA" w:rsidRDefault="006E79F7" w:rsidP="001F0875">
      <w:pPr>
        <w:pStyle w:val="ListParagraph"/>
        <w:spacing w:line="240" w:lineRule="auto"/>
        <w:ind w:left="0"/>
        <w:jc w:val="both"/>
        <w:rPr>
          <w:rFonts w:ascii="Times New Roman" w:eastAsiaTheme="minorHAnsi" w:hAnsi="Times New Roman"/>
          <w:sz w:val="24"/>
          <w:szCs w:val="24"/>
        </w:rPr>
      </w:pPr>
      <w:r w:rsidRPr="007E40FA">
        <w:rPr>
          <w:rFonts w:ascii="Times New Roman" w:hAnsi="Times New Roman"/>
          <w:sz w:val="24"/>
          <w:szCs w:val="24"/>
        </w:rPr>
        <w:t xml:space="preserve">To determine the sensitivity and specificity of the adapted mouse </w:t>
      </w:r>
      <w:r w:rsidR="004C0272" w:rsidRPr="007E40FA">
        <w:rPr>
          <w:rFonts w:ascii="Times New Roman" w:hAnsi="Times New Roman"/>
          <w:sz w:val="24"/>
          <w:szCs w:val="24"/>
        </w:rPr>
        <w:t>CSS</w:t>
      </w:r>
      <w:r w:rsidRPr="007E40FA">
        <w:rPr>
          <w:rFonts w:ascii="Times New Roman" w:hAnsi="Times New Roman"/>
          <w:sz w:val="24"/>
          <w:szCs w:val="24"/>
        </w:rPr>
        <w:t xml:space="preserve"> protocol, spiked (</w:t>
      </w:r>
      <w:r w:rsidRPr="007E40FA">
        <w:rPr>
          <w:rFonts w:ascii="Times New Roman" w:eastAsiaTheme="minorHAnsi" w:hAnsi="Times New Roman"/>
          <w:sz w:val="24"/>
          <w:szCs w:val="24"/>
        </w:rPr>
        <w:t>1</w:t>
      </w:r>
      <w:r w:rsidR="000C7419" w:rsidRPr="007E40FA">
        <w:rPr>
          <w:rFonts w:ascii="Times New Roman" w:eastAsiaTheme="minorHAnsi" w:hAnsi="Times New Roman"/>
          <w:sz w:val="24"/>
          <w:szCs w:val="24"/>
        </w:rPr>
        <w:t>,</w:t>
      </w:r>
      <w:r w:rsidRPr="007E40FA">
        <w:rPr>
          <w:rFonts w:ascii="Times New Roman" w:eastAsiaTheme="minorHAnsi" w:hAnsi="Times New Roman"/>
          <w:sz w:val="24"/>
          <w:szCs w:val="24"/>
        </w:rPr>
        <w:t xml:space="preserve">000 </w:t>
      </w:r>
      <w:proofErr w:type="spellStart"/>
      <w:r w:rsidRPr="007E40FA">
        <w:rPr>
          <w:rFonts w:ascii="Times New Roman" w:eastAsiaTheme="minorHAnsi" w:hAnsi="Times New Roman"/>
          <w:sz w:val="24"/>
          <w:szCs w:val="24"/>
        </w:rPr>
        <w:t>LNCaP</w:t>
      </w:r>
      <w:proofErr w:type="spellEnd"/>
      <w:r w:rsidRPr="007E40FA">
        <w:rPr>
          <w:rFonts w:ascii="Times New Roman" w:eastAsiaTheme="minorHAnsi" w:hAnsi="Times New Roman"/>
          <w:sz w:val="24"/>
          <w:szCs w:val="24"/>
        </w:rPr>
        <w:t xml:space="preserve"> </w:t>
      </w:r>
      <w:r w:rsidR="00EE08B3" w:rsidRPr="007E40FA">
        <w:rPr>
          <w:rFonts w:ascii="Times New Roman" w:eastAsiaTheme="minorHAnsi" w:hAnsi="Times New Roman"/>
          <w:sz w:val="24"/>
          <w:szCs w:val="24"/>
        </w:rPr>
        <w:t>human prostate cancer</w:t>
      </w:r>
      <w:r w:rsidRPr="007E40FA">
        <w:rPr>
          <w:rFonts w:ascii="Times New Roman" w:eastAsiaTheme="minorHAnsi" w:hAnsi="Times New Roman"/>
          <w:sz w:val="24"/>
          <w:szCs w:val="24"/>
        </w:rPr>
        <w:t xml:space="preserve"> cells) and </w:t>
      </w:r>
      <w:proofErr w:type="spellStart"/>
      <w:r w:rsidRPr="007E40FA">
        <w:rPr>
          <w:rFonts w:ascii="Times New Roman" w:eastAsiaTheme="minorHAnsi" w:hAnsi="Times New Roman"/>
          <w:sz w:val="24"/>
          <w:szCs w:val="24"/>
        </w:rPr>
        <w:t>unspiked</w:t>
      </w:r>
      <w:proofErr w:type="spellEnd"/>
      <w:r w:rsidRPr="007E40FA">
        <w:rPr>
          <w:rFonts w:ascii="Times New Roman" w:eastAsiaTheme="minorHAnsi" w:hAnsi="Times New Roman"/>
          <w:sz w:val="24"/>
          <w:szCs w:val="24"/>
        </w:rPr>
        <w:t xml:space="preserve"> mouse blood samples were processed manually </w:t>
      </w:r>
      <w:r w:rsidR="00EE08B3" w:rsidRPr="007E40FA">
        <w:rPr>
          <w:rFonts w:ascii="Times New Roman" w:eastAsiaTheme="minorHAnsi" w:hAnsi="Times New Roman"/>
          <w:sz w:val="24"/>
          <w:szCs w:val="24"/>
        </w:rPr>
        <w:t xml:space="preserve">and scanned on the </w:t>
      </w:r>
      <w:r w:rsidR="00716910" w:rsidRPr="007E40FA">
        <w:rPr>
          <w:rFonts w:ascii="Times New Roman" w:eastAsiaTheme="minorHAnsi" w:hAnsi="Times New Roman"/>
          <w:sz w:val="24"/>
          <w:szCs w:val="24"/>
        </w:rPr>
        <w:t>analysis instrument</w:t>
      </w:r>
      <w:r w:rsidR="00EE08B3" w:rsidRPr="007E40FA">
        <w:rPr>
          <w:rFonts w:ascii="Times New Roman" w:eastAsiaTheme="minorHAnsi" w:hAnsi="Times New Roman"/>
          <w:sz w:val="24"/>
          <w:szCs w:val="24"/>
        </w:rPr>
        <w:t xml:space="preserve"> </w:t>
      </w:r>
      <w:r w:rsidRPr="007E40FA">
        <w:rPr>
          <w:rFonts w:ascii="Times New Roman" w:eastAsiaTheme="minorHAnsi" w:hAnsi="Times New Roman"/>
          <w:sz w:val="24"/>
          <w:szCs w:val="24"/>
        </w:rPr>
        <w:t>and compared to results obtained using the sam</w:t>
      </w:r>
      <w:r w:rsidR="00E212EF" w:rsidRPr="007E40FA">
        <w:rPr>
          <w:rFonts w:ascii="Times New Roman" w:eastAsiaTheme="minorHAnsi" w:hAnsi="Times New Roman"/>
          <w:sz w:val="24"/>
          <w:szCs w:val="24"/>
        </w:rPr>
        <w:t>e</w:t>
      </w:r>
      <w:r w:rsidRPr="007E40FA">
        <w:rPr>
          <w:rFonts w:ascii="Times New Roman" w:eastAsiaTheme="minorHAnsi" w:hAnsi="Times New Roman"/>
          <w:sz w:val="24"/>
          <w:szCs w:val="24"/>
        </w:rPr>
        <w:t xml:space="preserve"> cell line processed using the standard</w:t>
      </w:r>
      <w:r w:rsidR="00E212EF" w:rsidRPr="007E40FA">
        <w:rPr>
          <w:rFonts w:ascii="Times New Roman" w:eastAsiaTheme="minorHAnsi" w:hAnsi="Times New Roman"/>
          <w:sz w:val="24"/>
          <w:szCs w:val="24"/>
        </w:rPr>
        <w:t xml:space="preserve"> automated </w:t>
      </w:r>
      <w:r w:rsidR="004C0272" w:rsidRPr="007E40FA">
        <w:rPr>
          <w:rFonts w:ascii="Times New Roman" w:eastAsiaTheme="minorHAnsi" w:hAnsi="Times New Roman"/>
          <w:sz w:val="24"/>
          <w:szCs w:val="24"/>
        </w:rPr>
        <w:t>CSS</w:t>
      </w:r>
      <w:r w:rsidRPr="007E40FA">
        <w:rPr>
          <w:rFonts w:ascii="Times New Roman" w:eastAsiaTheme="minorHAnsi" w:hAnsi="Times New Roman"/>
          <w:sz w:val="24"/>
          <w:szCs w:val="24"/>
        </w:rPr>
        <w:t xml:space="preserve"> protocol on the </w:t>
      </w:r>
      <w:r w:rsidR="00716910" w:rsidRPr="007E40FA">
        <w:rPr>
          <w:rFonts w:ascii="Times New Roman" w:eastAsiaTheme="minorHAnsi" w:hAnsi="Times New Roman"/>
          <w:sz w:val="24"/>
          <w:szCs w:val="24"/>
        </w:rPr>
        <w:t>p</w:t>
      </w:r>
      <w:r w:rsidR="004C0272" w:rsidRPr="007E40FA">
        <w:rPr>
          <w:rFonts w:ascii="Times New Roman" w:eastAsiaTheme="minorHAnsi" w:hAnsi="Times New Roman"/>
          <w:sz w:val="24"/>
          <w:szCs w:val="24"/>
        </w:rPr>
        <w:t>reparation instrument</w:t>
      </w:r>
      <w:r w:rsidRPr="007E40FA">
        <w:rPr>
          <w:rFonts w:ascii="Times New Roman" w:eastAsiaTheme="minorHAnsi" w:hAnsi="Times New Roman"/>
          <w:sz w:val="24"/>
          <w:szCs w:val="24"/>
        </w:rPr>
        <w:t xml:space="preserve"> </w:t>
      </w:r>
      <w:r w:rsidRPr="007E40FA">
        <w:rPr>
          <w:rFonts w:ascii="Times New Roman" w:eastAsiaTheme="minorHAnsi" w:hAnsi="Times New Roman"/>
          <w:b/>
          <w:sz w:val="24"/>
          <w:szCs w:val="24"/>
        </w:rPr>
        <w:t>(Figure 3A)</w:t>
      </w:r>
      <w:r w:rsidRPr="007E40FA">
        <w:rPr>
          <w:rFonts w:ascii="Times New Roman" w:eastAsiaTheme="minorHAnsi" w:hAnsi="Times New Roman"/>
          <w:sz w:val="24"/>
          <w:szCs w:val="24"/>
        </w:rPr>
        <w:t xml:space="preserve">. As expected, </w:t>
      </w:r>
      <w:proofErr w:type="spellStart"/>
      <w:r w:rsidRPr="007E40FA">
        <w:rPr>
          <w:rFonts w:ascii="Times New Roman" w:eastAsiaTheme="minorHAnsi" w:hAnsi="Times New Roman"/>
          <w:sz w:val="24"/>
          <w:szCs w:val="24"/>
        </w:rPr>
        <w:t>unspiked</w:t>
      </w:r>
      <w:proofErr w:type="spellEnd"/>
      <w:r w:rsidRPr="007E40FA">
        <w:rPr>
          <w:rFonts w:ascii="Times New Roman" w:eastAsiaTheme="minorHAnsi" w:hAnsi="Times New Roman"/>
          <w:sz w:val="24"/>
          <w:szCs w:val="24"/>
        </w:rPr>
        <w:t xml:space="preserve"> samples were free of CTCs using both assays, 0.</w:t>
      </w:r>
      <w:r w:rsidR="000C7419" w:rsidRPr="007E40FA">
        <w:rPr>
          <w:rFonts w:ascii="Times New Roman" w:eastAsiaTheme="minorHAnsi" w:hAnsi="Times New Roman"/>
          <w:sz w:val="24"/>
          <w:szCs w:val="24"/>
        </w:rPr>
        <w:t>0</w:t>
      </w:r>
      <w:r w:rsidRPr="007E40FA">
        <w:rPr>
          <w:rFonts w:ascii="Times New Roman" w:eastAsiaTheme="minorHAnsi" w:hAnsi="Times New Roman"/>
          <w:sz w:val="24"/>
          <w:szCs w:val="24"/>
        </w:rPr>
        <w:t>0±</w:t>
      </w:r>
      <w:r w:rsidR="00E72801" w:rsidRPr="007E40FA">
        <w:rPr>
          <w:rFonts w:ascii="Times New Roman" w:eastAsiaTheme="minorHAnsi" w:hAnsi="Times New Roman"/>
          <w:sz w:val="24"/>
          <w:szCs w:val="24"/>
        </w:rPr>
        <w:t>0.00</w:t>
      </w:r>
      <w:r w:rsidRPr="007E40FA">
        <w:rPr>
          <w:rFonts w:ascii="Times New Roman" w:eastAsiaTheme="minorHAnsi" w:hAnsi="Times New Roman"/>
          <w:sz w:val="24"/>
          <w:szCs w:val="24"/>
        </w:rPr>
        <w:t>% and CTC recovery using the adapted mouse kit (</w:t>
      </w:r>
      <w:r w:rsidR="00A35C2E" w:rsidRPr="007E40FA">
        <w:rPr>
          <w:rFonts w:ascii="Times New Roman" w:eastAsiaTheme="minorHAnsi" w:hAnsi="Times New Roman"/>
          <w:sz w:val="24"/>
          <w:szCs w:val="24"/>
        </w:rPr>
        <w:t>90.8</w:t>
      </w:r>
      <w:r w:rsidRPr="007E40FA">
        <w:rPr>
          <w:rFonts w:ascii="Times New Roman" w:eastAsiaTheme="minorHAnsi" w:hAnsi="Times New Roman"/>
          <w:sz w:val="24"/>
          <w:szCs w:val="24"/>
        </w:rPr>
        <w:t>±</w:t>
      </w:r>
      <w:r w:rsidR="00A35C2E" w:rsidRPr="007E40FA">
        <w:rPr>
          <w:rFonts w:ascii="Times New Roman" w:eastAsiaTheme="minorHAnsi" w:hAnsi="Times New Roman"/>
          <w:sz w:val="24"/>
          <w:szCs w:val="24"/>
        </w:rPr>
        <w:t>5.18</w:t>
      </w:r>
      <w:r w:rsidRPr="007E40FA">
        <w:rPr>
          <w:rFonts w:ascii="Times New Roman" w:eastAsiaTheme="minorHAnsi" w:hAnsi="Times New Roman"/>
          <w:sz w:val="24"/>
          <w:szCs w:val="24"/>
        </w:rPr>
        <w:t>%) was not significantly different from results obtained using the standard automated system (</w:t>
      </w:r>
      <w:r w:rsidR="00A35C2E" w:rsidRPr="007E40FA">
        <w:rPr>
          <w:rFonts w:ascii="Times New Roman" w:eastAsiaTheme="minorHAnsi" w:hAnsi="Times New Roman"/>
          <w:sz w:val="24"/>
          <w:szCs w:val="24"/>
        </w:rPr>
        <w:t>86.9±4.71%; p &gt; 0.05</w:t>
      </w:r>
      <w:r w:rsidRPr="007E40FA">
        <w:rPr>
          <w:rFonts w:ascii="Times New Roman" w:eastAsiaTheme="minorHAnsi" w:hAnsi="Times New Roman"/>
          <w:sz w:val="24"/>
          <w:szCs w:val="24"/>
        </w:rPr>
        <w:t xml:space="preserve">). </w:t>
      </w:r>
      <w:r w:rsidR="000D2445" w:rsidRPr="007E40FA">
        <w:rPr>
          <w:rFonts w:ascii="Times New Roman" w:eastAsiaTheme="minorHAnsi" w:hAnsi="Times New Roman"/>
          <w:sz w:val="24"/>
          <w:szCs w:val="24"/>
        </w:rPr>
        <w:t xml:space="preserve">Images obtained using the </w:t>
      </w:r>
      <w:r w:rsidR="00E72801" w:rsidRPr="007E40FA">
        <w:rPr>
          <w:rFonts w:ascii="Times New Roman" w:eastAsiaTheme="minorHAnsi" w:hAnsi="Times New Roman"/>
          <w:sz w:val="24"/>
          <w:szCs w:val="24"/>
        </w:rPr>
        <w:t>manual mouse adapted protocol</w:t>
      </w:r>
      <w:r w:rsidR="000D2445" w:rsidRPr="007E40FA">
        <w:rPr>
          <w:rFonts w:ascii="Times New Roman" w:eastAsiaTheme="minorHAnsi" w:hAnsi="Times New Roman"/>
          <w:sz w:val="24"/>
          <w:szCs w:val="24"/>
        </w:rPr>
        <w:t xml:space="preserve"> did not differ from those observed using the </w:t>
      </w:r>
      <w:r w:rsidR="00E72801" w:rsidRPr="007E40FA">
        <w:rPr>
          <w:rFonts w:ascii="Times New Roman" w:eastAsiaTheme="minorHAnsi" w:hAnsi="Times New Roman"/>
          <w:sz w:val="24"/>
          <w:szCs w:val="24"/>
        </w:rPr>
        <w:t xml:space="preserve">standard </w:t>
      </w:r>
      <w:r w:rsidR="000D2445" w:rsidRPr="007E40FA">
        <w:rPr>
          <w:rFonts w:ascii="Times New Roman" w:eastAsiaTheme="minorHAnsi" w:hAnsi="Times New Roman"/>
          <w:sz w:val="24"/>
          <w:szCs w:val="24"/>
        </w:rPr>
        <w:t>automated technique, with the exception of the addition of the HLA-FITC marker.</w:t>
      </w:r>
      <w:r w:rsidR="004E3D16" w:rsidRPr="007E40FA">
        <w:rPr>
          <w:rFonts w:ascii="Times New Roman" w:eastAsiaTheme="minorHAnsi" w:hAnsi="Times New Roman"/>
          <w:sz w:val="24"/>
          <w:szCs w:val="24"/>
        </w:rPr>
        <w:t xml:space="preserve"> In addition, mouse </w:t>
      </w:r>
      <w:r w:rsidR="00803880" w:rsidRPr="007E40FA">
        <w:rPr>
          <w:rFonts w:ascii="Times New Roman" w:eastAsiaTheme="minorHAnsi" w:hAnsi="Times New Roman"/>
          <w:sz w:val="24"/>
          <w:szCs w:val="24"/>
        </w:rPr>
        <w:t xml:space="preserve">squamous </w:t>
      </w:r>
      <w:r w:rsidR="004E3D16" w:rsidRPr="007E40FA">
        <w:rPr>
          <w:rFonts w:ascii="Times New Roman" w:eastAsiaTheme="minorHAnsi" w:hAnsi="Times New Roman"/>
          <w:sz w:val="24"/>
          <w:szCs w:val="24"/>
        </w:rPr>
        <w:t xml:space="preserve">epithelial cells do not stain positively for HLA-FITC </w:t>
      </w:r>
      <w:r w:rsidR="004E3D16" w:rsidRPr="007E40FA">
        <w:rPr>
          <w:rFonts w:ascii="Times New Roman" w:eastAsiaTheme="minorHAnsi" w:hAnsi="Times New Roman"/>
          <w:b/>
          <w:sz w:val="24"/>
          <w:szCs w:val="24"/>
        </w:rPr>
        <w:t>(Figure 3B)</w:t>
      </w:r>
      <w:r w:rsidR="004E3D16" w:rsidRPr="007E40FA">
        <w:rPr>
          <w:rFonts w:ascii="Times New Roman" w:eastAsiaTheme="minorHAnsi" w:hAnsi="Times New Roman"/>
          <w:sz w:val="24"/>
          <w:szCs w:val="24"/>
        </w:rPr>
        <w:t>.</w:t>
      </w:r>
      <w:r w:rsidR="000D2445" w:rsidRPr="007E40FA">
        <w:rPr>
          <w:rFonts w:ascii="Times New Roman" w:eastAsiaTheme="minorHAnsi" w:hAnsi="Times New Roman"/>
          <w:sz w:val="24"/>
          <w:szCs w:val="24"/>
        </w:rPr>
        <w:t xml:space="preserve"> To confirm that this technique </w:t>
      </w:r>
      <w:r w:rsidR="00A62ABC" w:rsidRPr="007E40FA">
        <w:rPr>
          <w:rFonts w:ascii="Times New Roman" w:eastAsiaTheme="minorHAnsi" w:hAnsi="Times New Roman"/>
          <w:sz w:val="24"/>
          <w:szCs w:val="24"/>
        </w:rPr>
        <w:t>w</w:t>
      </w:r>
      <w:r w:rsidR="004E3D16" w:rsidRPr="007E40FA">
        <w:rPr>
          <w:rFonts w:ascii="Times New Roman" w:eastAsiaTheme="minorHAnsi" w:hAnsi="Times New Roman"/>
          <w:sz w:val="24"/>
          <w:szCs w:val="24"/>
        </w:rPr>
        <w:t>as</w:t>
      </w:r>
      <w:r w:rsidR="00A62ABC" w:rsidRPr="007E40FA">
        <w:rPr>
          <w:rFonts w:ascii="Times New Roman" w:eastAsiaTheme="minorHAnsi" w:hAnsi="Times New Roman"/>
          <w:sz w:val="24"/>
          <w:szCs w:val="24"/>
        </w:rPr>
        <w:t xml:space="preserve"> as </w:t>
      </w:r>
      <w:r w:rsidR="000D2445" w:rsidRPr="007E40FA">
        <w:rPr>
          <w:rFonts w:ascii="Times New Roman" w:eastAsiaTheme="minorHAnsi" w:hAnsi="Times New Roman"/>
          <w:sz w:val="24"/>
          <w:szCs w:val="24"/>
        </w:rPr>
        <w:t xml:space="preserve">sensitive </w:t>
      </w:r>
      <w:r w:rsidR="004E3D16" w:rsidRPr="007E40FA">
        <w:rPr>
          <w:rFonts w:ascii="Times New Roman" w:eastAsiaTheme="minorHAnsi" w:hAnsi="Times New Roman"/>
          <w:sz w:val="24"/>
          <w:szCs w:val="24"/>
        </w:rPr>
        <w:t xml:space="preserve">as the standard </w:t>
      </w:r>
      <w:r w:rsidR="004C0272" w:rsidRPr="007E40FA">
        <w:rPr>
          <w:rFonts w:ascii="Times New Roman" w:eastAsiaTheme="minorHAnsi" w:hAnsi="Times New Roman"/>
          <w:sz w:val="24"/>
          <w:szCs w:val="24"/>
        </w:rPr>
        <w:t>CSS</w:t>
      </w:r>
      <w:r w:rsidR="004E3D16" w:rsidRPr="007E40FA">
        <w:rPr>
          <w:rFonts w:ascii="Times New Roman" w:eastAsiaTheme="minorHAnsi" w:hAnsi="Times New Roman"/>
          <w:sz w:val="24"/>
          <w:szCs w:val="24"/>
        </w:rPr>
        <w:t xml:space="preserve"> protocol</w:t>
      </w:r>
      <w:r w:rsidR="000D2445" w:rsidRPr="007E40FA">
        <w:rPr>
          <w:rFonts w:ascii="Times New Roman" w:eastAsiaTheme="minorHAnsi" w:hAnsi="Times New Roman"/>
          <w:sz w:val="24"/>
          <w:szCs w:val="24"/>
        </w:rPr>
        <w:t xml:space="preserve"> for the isolation of low number of CTCs</w:t>
      </w:r>
      <w:r w:rsidR="00A62ABC" w:rsidRPr="007E40FA">
        <w:rPr>
          <w:rFonts w:ascii="Times New Roman" w:eastAsiaTheme="minorHAnsi" w:hAnsi="Times New Roman"/>
          <w:sz w:val="24"/>
          <w:szCs w:val="24"/>
        </w:rPr>
        <w:t>,</w:t>
      </w:r>
      <w:r w:rsidR="000D2445" w:rsidRPr="007E40FA">
        <w:rPr>
          <w:rFonts w:ascii="Times New Roman" w:eastAsiaTheme="minorHAnsi" w:hAnsi="Times New Roman"/>
          <w:sz w:val="24"/>
          <w:szCs w:val="24"/>
        </w:rPr>
        <w:t xml:space="preserve"> </w:t>
      </w:r>
      <w:r w:rsidR="004E3D16" w:rsidRPr="007E40FA">
        <w:rPr>
          <w:rFonts w:ascii="Times New Roman" w:eastAsiaTheme="minorHAnsi" w:hAnsi="Times New Roman"/>
          <w:sz w:val="24"/>
          <w:szCs w:val="24"/>
        </w:rPr>
        <w:t>serial</w:t>
      </w:r>
      <w:r w:rsidR="000D2445" w:rsidRPr="007E40FA">
        <w:rPr>
          <w:rFonts w:ascii="Times New Roman" w:eastAsiaTheme="minorHAnsi" w:hAnsi="Times New Roman"/>
          <w:sz w:val="24"/>
          <w:szCs w:val="24"/>
        </w:rPr>
        <w:t xml:space="preserve"> dilution</w:t>
      </w:r>
      <w:r w:rsidR="004E3D16" w:rsidRPr="007E40FA">
        <w:rPr>
          <w:rFonts w:ascii="Times New Roman" w:eastAsiaTheme="minorHAnsi" w:hAnsi="Times New Roman"/>
          <w:sz w:val="24"/>
          <w:szCs w:val="24"/>
        </w:rPr>
        <w:t>s</w:t>
      </w:r>
      <w:r w:rsidR="000D2445" w:rsidRPr="007E40FA">
        <w:rPr>
          <w:rFonts w:ascii="Times New Roman" w:eastAsiaTheme="minorHAnsi" w:hAnsi="Times New Roman"/>
          <w:sz w:val="24"/>
          <w:szCs w:val="24"/>
        </w:rPr>
        <w:t xml:space="preserve"> </w:t>
      </w:r>
      <w:r w:rsidR="004E3D16" w:rsidRPr="007E40FA">
        <w:rPr>
          <w:rFonts w:ascii="Times New Roman" w:eastAsiaTheme="minorHAnsi" w:hAnsi="Times New Roman"/>
          <w:sz w:val="24"/>
          <w:szCs w:val="24"/>
        </w:rPr>
        <w:t>were</w:t>
      </w:r>
      <w:r w:rsidR="000D2445" w:rsidRPr="007E40FA">
        <w:rPr>
          <w:rFonts w:ascii="Times New Roman" w:eastAsiaTheme="minorHAnsi" w:hAnsi="Times New Roman"/>
          <w:sz w:val="24"/>
          <w:szCs w:val="24"/>
        </w:rPr>
        <w:t xml:space="preserve"> performed with spiked blood samples and the correlation of expected number of cells versus recovered number of cells was assessed </w:t>
      </w:r>
      <w:r w:rsidR="000D2445" w:rsidRPr="007E40FA">
        <w:rPr>
          <w:rFonts w:ascii="Times New Roman" w:eastAsiaTheme="minorHAnsi" w:hAnsi="Times New Roman"/>
          <w:b/>
          <w:sz w:val="24"/>
          <w:szCs w:val="24"/>
        </w:rPr>
        <w:t>(Figure 3C)</w:t>
      </w:r>
      <w:r w:rsidR="004E3D16" w:rsidRPr="007E40FA">
        <w:rPr>
          <w:rFonts w:ascii="Times New Roman" w:eastAsiaTheme="minorHAnsi" w:hAnsi="Times New Roman"/>
          <w:sz w:val="24"/>
          <w:szCs w:val="24"/>
        </w:rPr>
        <w:t>. Results demonstrate that</w:t>
      </w:r>
      <w:r w:rsidR="000D2445" w:rsidRPr="007E40FA">
        <w:rPr>
          <w:rFonts w:ascii="Times New Roman" w:eastAsiaTheme="minorHAnsi" w:hAnsi="Times New Roman"/>
          <w:sz w:val="24"/>
          <w:szCs w:val="24"/>
        </w:rPr>
        <w:t xml:space="preserve"> </w:t>
      </w:r>
      <w:r w:rsidR="00A35C2E" w:rsidRPr="007E40FA">
        <w:rPr>
          <w:rFonts w:ascii="Times New Roman" w:eastAsiaTheme="minorHAnsi" w:hAnsi="Times New Roman"/>
          <w:sz w:val="24"/>
          <w:szCs w:val="24"/>
        </w:rPr>
        <w:t xml:space="preserve">CTCs could effectively be </w:t>
      </w:r>
      <w:r w:rsidR="000D2445" w:rsidRPr="007E40FA">
        <w:rPr>
          <w:rFonts w:ascii="Times New Roman" w:eastAsiaTheme="minorHAnsi" w:hAnsi="Times New Roman"/>
          <w:sz w:val="24"/>
          <w:szCs w:val="24"/>
        </w:rPr>
        <w:t>recovered</w:t>
      </w:r>
      <w:r w:rsidR="00A35C2E" w:rsidRPr="007E40FA">
        <w:rPr>
          <w:rFonts w:ascii="Times New Roman" w:eastAsiaTheme="minorHAnsi" w:hAnsi="Times New Roman"/>
          <w:sz w:val="24"/>
          <w:szCs w:val="24"/>
        </w:rPr>
        <w:t xml:space="preserve"> down to a sensitivity of 5 cells per 50µl of whole blood</w:t>
      </w:r>
      <w:r w:rsidR="000D2445" w:rsidRPr="007E40FA">
        <w:rPr>
          <w:rFonts w:ascii="Times New Roman" w:eastAsiaTheme="minorHAnsi" w:hAnsi="Times New Roman"/>
          <w:sz w:val="24"/>
          <w:szCs w:val="24"/>
        </w:rPr>
        <w:t xml:space="preserve"> using this assay</w:t>
      </w:r>
      <w:r w:rsidR="000C45FB" w:rsidRPr="007E40FA">
        <w:rPr>
          <w:rFonts w:ascii="Times New Roman" w:eastAsiaTheme="minorHAnsi" w:hAnsi="Times New Roman"/>
          <w:sz w:val="24"/>
          <w:szCs w:val="24"/>
        </w:rPr>
        <w:t>. T</w:t>
      </w:r>
      <w:r w:rsidR="000D2445" w:rsidRPr="007E40FA">
        <w:rPr>
          <w:rFonts w:ascii="Times New Roman" w:eastAsiaTheme="minorHAnsi" w:hAnsi="Times New Roman"/>
          <w:sz w:val="24"/>
          <w:szCs w:val="24"/>
        </w:rPr>
        <w:t>hese values correlated with expected results with an r</w:t>
      </w:r>
      <w:r w:rsidR="000D2445" w:rsidRPr="007E40FA">
        <w:rPr>
          <w:rFonts w:ascii="Times New Roman" w:eastAsiaTheme="minorHAnsi" w:hAnsi="Times New Roman"/>
          <w:sz w:val="24"/>
          <w:szCs w:val="24"/>
          <w:vertAlign w:val="superscript"/>
        </w:rPr>
        <w:t>2</w:t>
      </w:r>
      <w:r w:rsidR="00976E39" w:rsidRPr="007E40FA">
        <w:rPr>
          <w:rFonts w:ascii="Times New Roman" w:eastAsiaTheme="minorHAnsi" w:hAnsi="Times New Roman"/>
          <w:sz w:val="24"/>
          <w:szCs w:val="24"/>
        </w:rPr>
        <w:t xml:space="preserve"> = 0.99</w:t>
      </w:r>
      <w:r w:rsidR="000D2445" w:rsidRPr="007E40FA">
        <w:rPr>
          <w:rFonts w:ascii="Times New Roman" w:eastAsiaTheme="minorHAnsi" w:hAnsi="Times New Roman"/>
          <w:sz w:val="24"/>
          <w:szCs w:val="24"/>
        </w:rPr>
        <w:t xml:space="preserve">. </w:t>
      </w:r>
    </w:p>
    <w:p w:rsidR="00455918" w:rsidRPr="007E40FA" w:rsidRDefault="00455918" w:rsidP="001F0875">
      <w:pPr>
        <w:jc w:val="both"/>
        <w:rPr>
          <w:rFonts w:ascii="Times New Roman" w:eastAsiaTheme="minorHAnsi" w:hAnsi="Times New Roman"/>
          <w:sz w:val="24"/>
          <w:szCs w:val="24"/>
        </w:rPr>
      </w:pPr>
      <w:r w:rsidRPr="007E40FA">
        <w:rPr>
          <w:rFonts w:ascii="Times New Roman" w:eastAsiaTheme="minorHAnsi" w:hAnsi="Times New Roman"/>
          <w:sz w:val="24"/>
          <w:szCs w:val="24"/>
        </w:rPr>
        <w:br w:type="page"/>
      </w:r>
    </w:p>
    <w:p w:rsidR="009E30BC" w:rsidRPr="007E40FA" w:rsidRDefault="009E30BC" w:rsidP="001F0875">
      <w:pPr>
        <w:pStyle w:val="NormalWeb"/>
        <w:ind w:left="640" w:hanging="640"/>
        <w:jc w:val="both"/>
        <w:rPr>
          <w:b/>
        </w:rPr>
      </w:pPr>
      <w:r w:rsidRPr="007E40FA">
        <w:rPr>
          <w:b/>
        </w:rPr>
        <w:lastRenderedPageBreak/>
        <w:t>F</w:t>
      </w:r>
      <w:r w:rsidR="00455918" w:rsidRPr="007E40FA">
        <w:rPr>
          <w:b/>
        </w:rPr>
        <w:t>IGURE/TABLE LEGENDS</w:t>
      </w:r>
      <w:r w:rsidRPr="007E40FA">
        <w:rPr>
          <w:b/>
        </w:rPr>
        <w:t>:</w:t>
      </w:r>
    </w:p>
    <w:p w:rsidR="009E30BC" w:rsidRPr="007E40FA" w:rsidRDefault="009E30BC" w:rsidP="001F0875">
      <w:pPr>
        <w:spacing w:after="0" w:line="240" w:lineRule="auto"/>
        <w:jc w:val="both"/>
        <w:rPr>
          <w:rFonts w:ascii="Times New Roman" w:hAnsi="Times New Roman"/>
          <w:sz w:val="24"/>
          <w:szCs w:val="24"/>
          <w:lang w:val="en-US"/>
        </w:rPr>
      </w:pPr>
      <w:r w:rsidRPr="007E40FA">
        <w:rPr>
          <w:rFonts w:ascii="Times New Roman" w:hAnsi="Times New Roman"/>
          <w:b/>
          <w:sz w:val="24"/>
          <w:szCs w:val="24"/>
        </w:rPr>
        <w:t>Figure 1:</w:t>
      </w:r>
      <w:r w:rsidRPr="007E40FA">
        <w:rPr>
          <w:rFonts w:ascii="Times New Roman" w:hAnsi="Times New Roman"/>
          <w:sz w:val="24"/>
          <w:szCs w:val="24"/>
        </w:rPr>
        <w:t xml:space="preserve"> </w:t>
      </w:r>
      <w:r w:rsidR="00201C52" w:rsidRPr="007E40FA">
        <w:rPr>
          <w:rFonts w:ascii="Times New Roman" w:eastAsiaTheme="minorHAnsi" w:hAnsi="Times New Roman"/>
          <w:b/>
          <w:sz w:val="24"/>
          <w:szCs w:val="24"/>
        </w:rPr>
        <w:t xml:space="preserve">CTC enumeration and interpretation using the standard </w:t>
      </w:r>
      <w:r w:rsidR="004C0272" w:rsidRPr="007E40FA">
        <w:rPr>
          <w:rFonts w:ascii="Times New Roman" w:eastAsiaTheme="minorHAnsi" w:hAnsi="Times New Roman"/>
          <w:b/>
          <w:sz w:val="24"/>
          <w:szCs w:val="24"/>
        </w:rPr>
        <w:t>CSS</w:t>
      </w:r>
      <w:r w:rsidR="00201C52" w:rsidRPr="007E40FA">
        <w:rPr>
          <w:rFonts w:ascii="Times New Roman" w:eastAsiaTheme="minorHAnsi" w:hAnsi="Times New Roman"/>
          <w:b/>
          <w:sz w:val="24"/>
          <w:szCs w:val="24"/>
        </w:rPr>
        <w:t xml:space="preserve"> protocol</w:t>
      </w:r>
      <w:r w:rsidRPr="007E40FA">
        <w:rPr>
          <w:rFonts w:ascii="Times New Roman" w:eastAsiaTheme="minorHAnsi" w:hAnsi="Times New Roman"/>
          <w:sz w:val="24"/>
          <w:szCs w:val="24"/>
        </w:rPr>
        <w:t>.</w:t>
      </w:r>
      <w:r w:rsidRPr="007E40FA">
        <w:rPr>
          <w:rFonts w:ascii="Times New Roman" w:hAnsi="Times New Roman"/>
          <w:sz w:val="24"/>
          <w:szCs w:val="24"/>
        </w:rPr>
        <w:t xml:space="preserve"> </w:t>
      </w:r>
      <w:r w:rsidRPr="007E40FA">
        <w:rPr>
          <w:rFonts w:ascii="Times New Roman" w:hAnsi="Times New Roman"/>
          <w:b/>
          <w:sz w:val="24"/>
          <w:szCs w:val="24"/>
        </w:rPr>
        <w:t xml:space="preserve">(A) </w:t>
      </w:r>
      <w:r w:rsidRPr="007E40FA">
        <w:rPr>
          <w:rFonts w:ascii="Times New Roman" w:hAnsi="Times New Roman"/>
          <w:sz w:val="24"/>
          <w:szCs w:val="24"/>
        </w:rPr>
        <w:t xml:space="preserve">CTC recovery measured as a percentage of the number of spiked cells. Cells were counted by </w:t>
      </w:r>
      <w:proofErr w:type="spellStart"/>
      <w:r w:rsidRPr="007E40FA">
        <w:rPr>
          <w:rFonts w:ascii="Times New Roman" w:hAnsi="Times New Roman"/>
          <w:sz w:val="24"/>
          <w:szCs w:val="24"/>
        </w:rPr>
        <w:t>hemocytometer</w:t>
      </w:r>
      <w:proofErr w:type="spellEnd"/>
      <w:r w:rsidRPr="007E40FA">
        <w:rPr>
          <w:rFonts w:ascii="Times New Roman" w:hAnsi="Times New Roman"/>
          <w:sz w:val="24"/>
          <w:szCs w:val="24"/>
        </w:rPr>
        <w:t xml:space="preserve"> and ~1</w:t>
      </w:r>
      <w:r w:rsidR="009E154B" w:rsidRPr="007E40FA">
        <w:rPr>
          <w:rFonts w:ascii="Times New Roman" w:hAnsi="Times New Roman"/>
          <w:sz w:val="24"/>
          <w:szCs w:val="24"/>
        </w:rPr>
        <w:t>,</w:t>
      </w:r>
      <w:r w:rsidRPr="007E40FA">
        <w:rPr>
          <w:rFonts w:ascii="Times New Roman" w:hAnsi="Times New Roman"/>
          <w:sz w:val="24"/>
          <w:szCs w:val="24"/>
        </w:rPr>
        <w:t xml:space="preserve">000 </w:t>
      </w:r>
      <w:proofErr w:type="spellStart"/>
      <w:r w:rsidRPr="007E40FA">
        <w:rPr>
          <w:rFonts w:ascii="Times New Roman" w:hAnsi="Times New Roman"/>
          <w:sz w:val="24"/>
          <w:szCs w:val="24"/>
        </w:rPr>
        <w:t>LNCaP</w:t>
      </w:r>
      <w:proofErr w:type="spellEnd"/>
      <w:r w:rsidRPr="007E40FA">
        <w:rPr>
          <w:rFonts w:ascii="Times New Roman" w:hAnsi="Times New Roman"/>
          <w:sz w:val="24"/>
          <w:szCs w:val="24"/>
        </w:rPr>
        <w:t xml:space="preserve"> human prostate cancer cells were spiked into 7.5ml of human blood. </w:t>
      </w:r>
      <w:proofErr w:type="spellStart"/>
      <w:r w:rsidRPr="007E40FA">
        <w:rPr>
          <w:rFonts w:ascii="Times New Roman" w:hAnsi="Times New Roman"/>
          <w:sz w:val="24"/>
          <w:szCs w:val="24"/>
        </w:rPr>
        <w:t>Unspiked</w:t>
      </w:r>
      <w:proofErr w:type="spellEnd"/>
      <w:r w:rsidRPr="007E40FA">
        <w:rPr>
          <w:rFonts w:ascii="Times New Roman" w:hAnsi="Times New Roman"/>
          <w:sz w:val="24"/>
          <w:szCs w:val="24"/>
        </w:rPr>
        <w:t xml:space="preserve"> human blood samples were used as a negative control (n=3). </w:t>
      </w:r>
      <w:r w:rsidRPr="007E40FA">
        <w:rPr>
          <w:rFonts w:ascii="Times New Roman" w:hAnsi="Times New Roman"/>
          <w:sz w:val="24"/>
          <w:szCs w:val="24"/>
          <w:lang w:val="en-US"/>
        </w:rPr>
        <w:t>Data are presented as the mean ± SEM.</w:t>
      </w:r>
      <w:r w:rsidRPr="007E40FA">
        <w:rPr>
          <w:rFonts w:ascii="Times New Roman" w:hAnsi="Times New Roman"/>
          <w:sz w:val="24"/>
          <w:szCs w:val="24"/>
        </w:rPr>
        <w:t xml:space="preserve"> </w:t>
      </w:r>
      <w:r w:rsidRPr="007E40FA">
        <w:rPr>
          <w:rFonts w:ascii="Times New Roman" w:hAnsi="Times New Roman"/>
          <w:b/>
          <w:sz w:val="24"/>
          <w:szCs w:val="24"/>
        </w:rPr>
        <w:t xml:space="preserve">(B) </w:t>
      </w:r>
      <w:r w:rsidRPr="007E40FA">
        <w:rPr>
          <w:rFonts w:ascii="Times New Roman" w:hAnsi="Times New Roman"/>
          <w:sz w:val="24"/>
          <w:szCs w:val="24"/>
          <w:lang w:val="en-US"/>
        </w:rPr>
        <w:t xml:space="preserve">Representative </w:t>
      </w:r>
      <w:r w:rsidR="004C0272" w:rsidRPr="007E40FA">
        <w:rPr>
          <w:rFonts w:ascii="Times New Roman" w:hAnsi="Times New Roman"/>
          <w:sz w:val="24"/>
          <w:szCs w:val="24"/>
        </w:rPr>
        <w:t>CSS</w:t>
      </w:r>
      <w:r w:rsidRPr="007E40FA">
        <w:rPr>
          <w:rFonts w:ascii="Times New Roman" w:hAnsi="Times New Roman"/>
          <w:sz w:val="24"/>
          <w:szCs w:val="24"/>
          <w:lang w:val="en-US"/>
        </w:rPr>
        <w:t xml:space="preserve"> gallery images of the differences in CTC quality observed in spiked blood samples (i.e., healthy donor blood spiked with tumor cells from culture) versus samples collected from cancer patients. </w:t>
      </w:r>
      <w:r w:rsidRPr="007E40FA">
        <w:rPr>
          <w:rFonts w:ascii="Times New Roman" w:hAnsi="Times New Roman"/>
          <w:b/>
          <w:sz w:val="24"/>
          <w:szCs w:val="24"/>
          <w:lang w:val="en-US"/>
        </w:rPr>
        <w:t xml:space="preserve">(C) </w:t>
      </w:r>
      <w:r w:rsidRPr="007E40FA">
        <w:rPr>
          <w:rFonts w:ascii="Times New Roman" w:hAnsi="Times New Roman"/>
          <w:sz w:val="24"/>
          <w:szCs w:val="24"/>
          <w:lang w:val="en-US"/>
        </w:rPr>
        <w:t xml:space="preserve">Representative </w:t>
      </w:r>
      <w:r w:rsidR="004C0272" w:rsidRPr="007E40FA">
        <w:rPr>
          <w:rFonts w:ascii="Times New Roman" w:hAnsi="Times New Roman"/>
          <w:sz w:val="24"/>
          <w:szCs w:val="24"/>
        </w:rPr>
        <w:t>CSS</w:t>
      </w:r>
      <w:r w:rsidRPr="007E40FA">
        <w:rPr>
          <w:rFonts w:ascii="Times New Roman" w:hAnsi="Times New Roman"/>
          <w:sz w:val="24"/>
          <w:szCs w:val="24"/>
          <w:lang w:val="en-US"/>
        </w:rPr>
        <w:t xml:space="preserve"> gallery images of commonly discrepant items that are often misclassified. Orange squares indicate </w:t>
      </w:r>
      <w:r w:rsidR="00803037" w:rsidRPr="007E40FA">
        <w:rPr>
          <w:rFonts w:ascii="Times New Roman" w:hAnsi="Times New Roman"/>
          <w:sz w:val="24"/>
          <w:szCs w:val="24"/>
          <w:lang w:val="en-US"/>
        </w:rPr>
        <w:t xml:space="preserve">acceptable </w:t>
      </w:r>
      <w:r w:rsidRPr="007E40FA">
        <w:rPr>
          <w:rFonts w:ascii="Times New Roman" w:hAnsi="Times New Roman"/>
          <w:sz w:val="24"/>
          <w:szCs w:val="24"/>
          <w:lang w:val="en-US"/>
        </w:rPr>
        <w:t>CTCs, identified as CK</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/DAPI</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/CD45</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 Images acquired at 10x objective magnification.</w:t>
      </w:r>
    </w:p>
    <w:p w:rsidR="009E30BC" w:rsidRPr="007E40FA" w:rsidRDefault="009E30BC" w:rsidP="001F0875">
      <w:pPr>
        <w:spacing w:after="0" w:line="240" w:lineRule="auto"/>
        <w:jc w:val="both"/>
        <w:rPr>
          <w:rFonts w:ascii="Times New Roman" w:hAnsi="Times New Roman"/>
          <w:sz w:val="24"/>
          <w:szCs w:val="24"/>
          <w:lang w:val="en-US"/>
        </w:rPr>
      </w:pPr>
    </w:p>
    <w:p w:rsidR="009E30BC" w:rsidRPr="007E40FA" w:rsidRDefault="009E30BC" w:rsidP="001F0875">
      <w:pPr>
        <w:spacing w:after="0" w:line="240" w:lineRule="auto"/>
        <w:jc w:val="both"/>
        <w:rPr>
          <w:rFonts w:ascii="Times New Roman" w:hAnsi="Times New Roman"/>
          <w:sz w:val="24"/>
          <w:szCs w:val="24"/>
          <w:lang w:val="en-US"/>
        </w:rPr>
      </w:pPr>
      <w:r w:rsidRPr="007E40FA">
        <w:rPr>
          <w:rFonts w:ascii="Times New Roman" w:hAnsi="Times New Roman"/>
          <w:b/>
          <w:sz w:val="24"/>
          <w:szCs w:val="24"/>
          <w:lang w:val="en-US"/>
        </w:rPr>
        <w:t>Figure 2:</w:t>
      </w:r>
      <w:r w:rsidR="00455918" w:rsidRPr="007E40FA">
        <w:rPr>
          <w:rFonts w:ascii="Times New Roman" w:hAnsi="Times New Roman"/>
          <w:sz w:val="24"/>
          <w:szCs w:val="24"/>
        </w:rPr>
        <w:t xml:space="preserve"> </w:t>
      </w:r>
      <w:r w:rsidR="00201C52" w:rsidRPr="007E40FA">
        <w:rPr>
          <w:rFonts w:ascii="Times New Roman" w:hAnsi="Times New Roman"/>
          <w:b/>
          <w:sz w:val="24"/>
          <w:szCs w:val="24"/>
        </w:rPr>
        <w:t xml:space="preserve">Characterization of CTCs for user-defined markers using the </w:t>
      </w:r>
      <w:r w:rsidR="004C0272" w:rsidRPr="007E40FA">
        <w:rPr>
          <w:rFonts w:ascii="Times New Roman" w:hAnsi="Times New Roman"/>
          <w:b/>
          <w:sz w:val="24"/>
          <w:szCs w:val="24"/>
        </w:rPr>
        <w:t>CSS</w:t>
      </w:r>
      <w:r w:rsidR="00201C52" w:rsidRPr="007E40FA">
        <w:rPr>
          <w:rFonts w:ascii="Times New Roman" w:hAnsi="Times New Roman"/>
          <w:b/>
          <w:sz w:val="24"/>
          <w:szCs w:val="24"/>
          <w:lang w:val="en-US"/>
        </w:rPr>
        <w:t>.</w:t>
      </w:r>
      <w:r w:rsidRPr="007E40FA">
        <w:rPr>
          <w:rFonts w:ascii="Times New Roman" w:hAnsi="Times New Roman"/>
          <w:sz w:val="24"/>
          <w:szCs w:val="24"/>
          <w:lang w:val="en-US"/>
        </w:rPr>
        <w:t xml:space="preserve"> </w:t>
      </w:r>
      <w:r w:rsidRPr="007E40FA">
        <w:rPr>
          <w:rFonts w:ascii="Times New Roman" w:hAnsi="Times New Roman"/>
          <w:b/>
          <w:sz w:val="24"/>
          <w:szCs w:val="24"/>
          <w:lang w:val="en-US"/>
        </w:rPr>
        <w:t>(A)</w:t>
      </w:r>
      <w:r w:rsidRPr="007E40FA">
        <w:rPr>
          <w:rFonts w:ascii="Times New Roman" w:hAnsi="Times New Roman"/>
          <w:sz w:val="24"/>
          <w:szCs w:val="24"/>
          <w:lang w:val="en-US"/>
        </w:rPr>
        <w:t xml:space="preserve"> Percentage of </w:t>
      </w:r>
      <w:r w:rsidR="009724BA" w:rsidRPr="007E40FA">
        <w:rPr>
          <w:rFonts w:ascii="Times New Roman" w:hAnsi="Times New Roman"/>
          <w:sz w:val="24"/>
          <w:szCs w:val="24"/>
          <w:lang w:val="en-US"/>
        </w:rPr>
        <w:t xml:space="preserve">cells classified as </w:t>
      </w:r>
      <w:r w:rsidRPr="007E40FA">
        <w:rPr>
          <w:rFonts w:ascii="Times New Roman" w:hAnsi="Times New Roman"/>
          <w:sz w:val="24"/>
          <w:szCs w:val="24"/>
          <w:lang w:val="en-US"/>
        </w:rPr>
        <w:t>CD44+ using the CTC and CXC kits</w:t>
      </w:r>
      <w:r w:rsidR="009724BA" w:rsidRPr="007E40FA">
        <w:rPr>
          <w:rFonts w:ascii="Times New Roman" w:hAnsi="Times New Roman"/>
          <w:sz w:val="24"/>
          <w:szCs w:val="24"/>
          <w:lang w:val="en-US"/>
        </w:rPr>
        <w:t xml:space="preserve"> on the </w:t>
      </w:r>
      <w:r w:rsidR="004C0272" w:rsidRPr="007E40FA">
        <w:rPr>
          <w:rFonts w:ascii="Times New Roman" w:hAnsi="Times New Roman"/>
          <w:sz w:val="24"/>
          <w:szCs w:val="24"/>
        </w:rPr>
        <w:t>CSS</w:t>
      </w:r>
      <w:r w:rsidRPr="007E40FA">
        <w:rPr>
          <w:rFonts w:ascii="Times New Roman" w:hAnsi="Times New Roman"/>
          <w:sz w:val="24"/>
          <w:szCs w:val="24"/>
          <w:lang w:val="en-US"/>
        </w:rPr>
        <w:t xml:space="preserve"> (n=3). Data are presented as the mean ± SEM. *** = significantly different (P &lt; 0.0005). </w:t>
      </w:r>
      <w:r w:rsidRPr="007E40FA">
        <w:rPr>
          <w:rFonts w:ascii="Times New Roman" w:hAnsi="Times New Roman"/>
          <w:b/>
          <w:sz w:val="24"/>
          <w:szCs w:val="24"/>
          <w:lang w:val="en-US"/>
        </w:rPr>
        <w:t xml:space="preserve">(B) </w:t>
      </w:r>
      <w:r w:rsidRPr="007E40FA">
        <w:rPr>
          <w:rFonts w:ascii="Times New Roman" w:hAnsi="Times New Roman"/>
          <w:sz w:val="24"/>
          <w:szCs w:val="24"/>
          <w:lang w:val="en-US"/>
        </w:rPr>
        <w:t xml:space="preserve">Representative </w:t>
      </w:r>
      <w:r w:rsidR="004C0272" w:rsidRPr="007E40FA">
        <w:rPr>
          <w:rFonts w:ascii="Times New Roman" w:hAnsi="Times New Roman"/>
          <w:sz w:val="24"/>
          <w:szCs w:val="24"/>
        </w:rPr>
        <w:t>CSS</w:t>
      </w:r>
      <w:r w:rsidR="009724BA" w:rsidRPr="007E40FA">
        <w:rPr>
          <w:rFonts w:ascii="Times New Roman" w:hAnsi="Times New Roman"/>
          <w:sz w:val="24"/>
          <w:szCs w:val="24"/>
          <w:lang w:val="en-US"/>
        </w:rPr>
        <w:t xml:space="preserve"> </w:t>
      </w:r>
      <w:r w:rsidRPr="007E40FA">
        <w:rPr>
          <w:rFonts w:ascii="Times New Roman" w:hAnsi="Times New Roman"/>
          <w:sz w:val="24"/>
          <w:szCs w:val="24"/>
          <w:lang w:val="en-US"/>
        </w:rPr>
        <w:t>gallery images of blood from a healthy volunteer donor</w:t>
      </w:r>
      <w:r w:rsidR="009724BA" w:rsidRPr="007E40FA">
        <w:rPr>
          <w:rFonts w:ascii="Times New Roman" w:hAnsi="Times New Roman"/>
          <w:sz w:val="24"/>
          <w:szCs w:val="24"/>
          <w:lang w:val="en-US"/>
        </w:rPr>
        <w:t xml:space="preserve"> (7.5ml)</w:t>
      </w:r>
      <w:r w:rsidRPr="007E40FA">
        <w:rPr>
          <w:rFonts w:ascii="Times New Roman" w:hAnsi="Times New Roman"/>
          <w:sz w:val="24"/>
          <w:szCs w:val="24"/>
          <w:lang w:val="en-US"/>
        </w:rPr>
        <w:t>, spiked with ~1</w:t>
      </w:r>
      <w:r w:rsidR="00A62ABC" w:rsidRPr="007E40FA">
        <w:rPr>
          <w:rFonts w:ascii="Times New Roman" w:hAnsi="Times New Roman"/>
          <w:sz w:val="24"/>
          <w:szCs w:val="24"/>
          <w:lang w:val="en-US"/>
        </w:rPr>
        <w:t>,</w:t>
      </w:r>
      <w:r w:rsidRPr="007E40FA">
        <w:rPr>
          <w:rFonts w:ascii="Times New Roman" w:hAnsi="Times New Roman"/>
          <w:sz w:val="24"/>
          <w:szCs w:val="24"/>
          <w:lang w:val="en-US"/>
        </w:rPr>
        <w:t xml:space="preserve">000 cells from the </w:t>
      </w:r>
      <w:r w:rsidR="009724BA" w:rsidRPr="007E40FA">
        <w:rPr>
          <w:rFonts w:ascii="Times New Roman" w:hAnsi="Times New Roman"/>
          <w:sz w:val="24"/>
          <w:szCs w:val="24"/>
          <w:lang w:val="en-US"/>
        </w:rPr>
        <w:t xml:space="preserve">identified </w:t>
      </w:r>
      <w:r w:rsidRPr="007E40FA">
        <w:rPr>
          <w:rFonts w:ascii="Times New Roman" w:hAnsi="Times New Roman"/>
          <w:sz w:val="24"/>
          <w:szCs w:val="24"/>
          <w:lang w:val="en-US"/>
        </w:rPr>
        <w:t xml:space="preserve">cell line, incubated with 1.5µg/ml of anti-CD44-PE, and </w:t>
      </w:r>
      <w:r w:rsidR="009724BA" w:rsidRPr="007E40FA">
        <w:rPr>
          <w:rFonts w:ascii="Times New Roman" w:hAnsi="Times New Roman"/>
          <w:sz w:val="24"/>
          <w:szCs w:val="24"/>
          <w:lang w:val="en-US"/>
        </w:rPr>
        <w:t xml:space="preserve">scanned </w:t>
      </w:r>
      <w:r w:rsidRPr="007E40FA">
        <w:rPr>
          <w:rFonts w:ascii="Times New Roman" w:hAnsi="Times New Roman"/>
          <w:sz w:val="24"/>
          <w:szCs w:val="24"/>
          <w:lang w:val="en-US"/>
        </w:rPr>
        <w:t>at an exposure time of 0.2s. Orange squares indicate CD44</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 xml:space="preserve"> CTCs, identified as CK</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/DAPI</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/CD45</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/CD44-PE</w:t>
      </w:r>
      <w:r w:rsidRPr="007E40FA">
        <w:rPr>
          <w:rFonts w:ascii="Times New Roman" w:hAnsi="Times New Roman"/>
          <w:sz w:val="24"/>
          <w:szCs w:val="24"/>
          <w:vertAlign w:val="superscript"/>
          <w:lang w:val="en-US"/>
        </w:rPr>
        <w:t>+</w:t>
      </w:r>
      <w:r w:rsidRPr="007E40FA">
        <w:rPr>
          <w:rFonts w:ascii="Times New Roman" w:hAnsi="Times New Roman"/>
          <w:sz w:val="24"/>
          <w:szCs w:val="24"/>
          <w:lang w:val="en-US"/>
        </w:rPr>
        <w:t>.</w:t>
      </w:r>
    </w:p>
    <w:p w:rsidR="009E30BC" w:rsidRPr="007E40FA" w:rsidRDefault="009E30BC" w:rsidP="001F0875">
      <w:pPr>
        <w:spacing w:after="0" w:line="240" w:lineRule="auto"/>
        <w:jc w:val="both"/>
        <w:rPr>
          <w:rFonts w:ascii="Times New Roman" w:hAnsi="Times New Roman"/>
          <w:sz w:val="24"/>
          <w:szCs w:val="24"/>
          <w:lang w:val="en-US"/>
        </w:rPr>
      </w:pPr>
    </w:p>
    <w:p w:rsidR="009E30BC" w:rsidRPr="007E40FA" w:rsidRDefault="009E30BC" w:rsidP="001F0875">
      <w:pPr>
        <w:spacing w:after="0" w:line="240" w:lineRule="auto"/>
        <w:jc w:val="both"/>
        <w:rPr>
          <w:rFonts w:ascii="Times New Roman" w:hAnsi="Times New Roman"/>
          <w:sz w:val="24"/>
          <w:szCs w:val="24"/>
          <w:lang w:val="en-US"/>
        </w:rPr>
      </w:pPr>
      <w:r w:rsidRPr="007E40FA">
        <w:rPr>
          <w:rFonts w:ascii="Times New Roman" w:hAnsi="Times New Roman"/>
          <w:b/>
          <w:sz w:val="24"/>
          <w:szCs w:val="24"/>
          <w:lang w:val="en-US"/>
        </w:rPr>
        <w:t>Figure 3:</w:t>
      </w:r>
      <w:r w:rsidRPr="007E40FA">
        <w:rPr>
          <w:rFonts w:ascii="Times New Roman" w:hAnsi="Times New Roman"/>
          <w:sz w:val="24"/>
          <w:szCs w:val="24"/>
          <w:lang w:val="en-US"/>
        </w:rPr>
        <w:t xml:space="preserve"> </w:t>
      </w:r>
      <w:r w:rsidR="00201C52" w:rsidRPr="007E40FA">
        <w:rPr>
          <w:rFonts w:ascii="Times New Roman" w:hAnsi="Times New Roman"/>
          <w:b/>
          <w:sz w:val="24"/>
          <w:szCs w:val="24"/>
        </w:rPr>
        <w:t xml:space="preserve">Adaptation of the </w:t>
      </w:r>
      <w:r w:rsidR="004C0272" w:rsidRPr="007E40FA">
        <w:rPr>
          <w:rFonts w:ascii="Times New Roman" w:hAnsi="Times New Roman"/>
          <w:b/>
          <w:sz w:val="24"/>
          <w:szCs w:val="24"/>
        </w:rPr>
        <w:t>CSS</w:t>
      </w:r>
      <w:r w:rsidR="00201C52" w:rsidRPr="007E40FA">
        <w:rPr>
          <w:rFonts w:ascii="Times New Roman" w:hAnsi="Times New Roman"/>
          <w:b/>
          <w:sz w:val="24"/>
          <w:szCs w:val="24"/>
        </w:rPr>
        <w:t xml:space="preserve"> procedure for use in pre-clinical mouse models of metastasis.</w:t>
      </w:r>
      <w:r w:rsidRPr="007E40FA">
        <w:rPr>
          <w:rFonts w:ascii="Times New Roman" w:hAnsi="Times New Roman"/>
          <w:sz w:val="24"/>
          <w:szCs w:val="24"/>
        </w:rPr>
        <w:t xml:space="preserve"> </w:t>
      </w:r>
      <w:r w:rsidRPr="007E40FA">
        <w:rPr>
          <w:rFonts w:ascii="Times New Roman" w:hAnsi="Times New Roman"/>
          <w:b/>
          <w:sz w:val="24"/>
          <w:szCs w:val="24"/>
        </w:rPr>
        <w:t>(A)</w:t>
      </w:r>
      <w:r w:rsidRPr="007E40FA">
        <w:rPr>
          <w:rFonts w:ascii="Times New Roman" w:hAnsi="Times New Roman"/>
          <w:sz w:val="24"/>
          <w:szCs w:val="24"/>
        </w:rPr>
        <w:t xml:space="preserve"> CTC recovery using the adapted mouse </w:t>
      </w:r>
      <w:r w:rsidR="004C0272" w:rsidRPr="007E40FA">
        <w:rPr>
          <w:rFonts w:ascii="Times New Roman" w:hAnsi="Times New Roman"/>
          <w:sz w:val="24"/>
          <w:szCs w:val="24"/>
        </w:rPr>
        <w:t>CSS</w:t>
      </w:r>
      <w:r w:rsidRPr="007E40FA">
        <w:rPr>
          <w:rFonts w:ascii="Times New Roman" w:hAnsi="Times New Roman"/>
          <w:sz w:val="24"/>
          <w:szCs w:val="24"/>
        </w:rPr>
        <w:t xml:space="preserve"> protocol measured as a percentage of the number of spiked cells and compared to results obtained using the standard human </w:t>
      </w:r>
      <w:r w:rsidR="004C0272" w:rsidRPr="007E40FA">
        <w:rPr>
          <w:rFonts w:ascii="Times New Roman" w:hAnsi="Times New Roman"/>
          <w:sz w:val="24"/>
          <w:szCs w:val="24"/>
        </w:rPr>
        <w:t>CSS</w:t>
      </w:r>
      <w:r w:rsidRPr="007E40FA">
        <w:rPr>
          <w:rFonts w:ascii="Times New Roman" w:hAnsi="Times New Roman"/>
          <w:sz w:val="24"/>
          <w:szCs w:val="24"/>
        </w:rPr>
        <w:t xml:space="preserve"> protocol. Cells were counted by </w:t>
      </w:r>
      <w:proofErr w:type="spellStart"/>
      <w:r w:rsidRPr="007E40FA">
        <w:rPr>
          <w:rFonts w:ascii="Times New Roman" w:hAnsi="Times New Roman"/>
          <w:sz w:val="24"/>
          <w:szCs w:val="24"/>
        </w:rPr>
        <w:t>hemocytometer</w:t>
      </w:r>
      <w:proofErr w:type="spellEnd"/>
      <w:r w:rsidRPr="007E40FA">
        <w:rPr>
          <w:rFonts w:ascii="Times New Roman" w:hAnsi="Times New Roman"/>
          <w:sz w:val="24"/>
          <w:szCs w:val="24"/>
        </w:rPr>
        <w:t xml:space="preserve"> and ~1</w:t>
      </w:r>
      <w:r w:rsidR="009E154B" w:rsidRPr="007E40FA">
        <w:rPr>
          <w:rFonts w:ascii="Times New Roman" w:hAnsi="Times New Roman"/>
          <w:sz w:val="24"/>
          <w:szCs w:val="24"/>
        </w:rPr>
        <w:t>,</w:t>
      </w:r>
      <w:r w:rsidRPr="007E40FA">
        <w:rPr>
          <w:rFonts w:ascii="Times New Roman" w:hAnsi="Times New Roman"/>
          <w:sz w:val="24"/>
          <w:szCs w:val="24"/>
        </w:rPr>
        <w:t xml:space="preserve">000 </w:t>
      </w:r>
      <w:proofErr w:type="spellStart"/>
      <w:r w:rsidRPr="007E40FA">
        <w:rPr>
          <w:rFonts w:ascii="Times New Roman" w:hAnsi="Times New Roman"/>
          <w:sz w:val="24"/>
          <w:szCs w:val="24"/>
        </w:rPr>
        <w:t>LNCaP</w:t>
      </w:r>
      <w:proofErr w:type="spellEnd"/>
      <w:r w:rsidRPr="007E40FA">
        <w:rPr>
          <w:rFonts w:ascii="Times New Roman" w:hAnsi="Times New Roman"/>
          <w:sz w:val="24"/>
          <w:szCs w:val="24"/>
        </w:rPr>
        <w:t xml:space="preserve"> human prostate cancer cells were spiked into 7.5ml of human blood. </w:t>
      </w:r>
      <w:proofErr w:type="spellStart"/>
      <w:r w:rsidRPr="007E40FA">
        <w:rPr>
          <w:rFonts w:ascii="Times New Roman" w:hAnsi="Times New Roman"/>
          <w:sz w:val="24"/>
          <w:szCs w:val="24"/>
        </w:rPr>
        <w:t>Unspiked</w:t>
      </w:r>
      <w:proofErr w:type="spellEnd"/>
      <w:r w:rsidRPr="007E40FA">
        <w:rPr>
          <w:rFonts w:ascii="Times New Roman" w:hAnsi="Times New Roman"/>
          <w:sz w:val="24"/>
          <w:szCs w:val="24"/>
        </w:rPr>
        <w:t xml:space="preserve"> human blood samples were used as a negative control (n=3). </w:t>
      </w:r>
      <w:r w:rsidRPr="007E40FA">
        <w:rPr>
          <w:rFonts w:ascii="Times New Roman" w:hAnsi="Times New Roman"/>
          <w:sz w:val="24"/>
          <w:szCs w:val="24"/>
          <w:lang w:val="en-US"/>
        </w:rPr>
        <w:t>Data are presented as the mean ± SEM.</w:t>
      </w:r>
      <w:r w:rsidRPr="007E40FA">
        <w:rPr>
          <w:rFonts w:ascii="Times New Roman" w:hAnsi="Times New Roman"/>
          <w:sz w:val="24"/>
          <w:szCs w:val="24"/>
        </w:rPr>
        <w:t xml:space="preserve"> ns =</w:t>
      </w:r>
      <w:r w:rsidR="00D372EA" w:rsidRPr="007E40FA">
        <w:rPr>
          <w:rFonts w:ascii="Times New Roman" w:hAnsi="Times New Roman"/>
          <w:sz w:val="24"/>
          <w:szCs w:val="24"/>
        </w:rPr>
        <w:t xml:space="preserve"> not significant.</w:t>
      </w:r>
      <w:r w:rsidRPr="007E40FA">
        <w:rPr>
          <w:rFonts w:ascii="Times New Roman" w:hAnsi="Times New Roman"/>
          <w:sz w:val="24"/>
          <w:szCs w:val="24"/>
        </w:rPr>
        <w:t xml:space="preserve"> </w:t>
      </w:r>
      <w:r w:rsidRPr="007E40FA">
        <w:rPr>
          <w:rFonts w:ascii="Times New Roman" w:hAnsi="Times New Roman"/>
          <w:b/>
          <w:sz w:val="24"/>
          <w:szCs w:val="24"/>
        </w:rPr>
        <w:t>(B)</w:t>
      </w:r>
      <w:r w:rsidRPr="007E40FA">
        <w:rPr>
          <w:rFonts w:ascii="Times New Roman" w:hAnsi="Times New Roman"/>
          <w:sz w:val="24"/>
          <w:szCs w:val="24"/>
        </w:rPr>
        <w:t xml:space="preserve"> </w:t>
      </w:r>
      <w:r w:rsidRPr="007E40FA">
        <w:rPr>
          <w:rFonts w:ascii="Times New Roman" w:hAnsi="Times New Roman"/>
          <w:sz w:val="24"/>
          <w:szCs w:val="24"/>
          <w:lang w:val="en-US"/>
        </w:rPr>
        <w:t xml:space="preserve">Representative </w:t>
      </w:r>
      <w:r w:rsidR="004C0272" w:rsidRPr="007E40FA">
        <w:rPr>
          <w:rFonts w:ascii="Times New Roman" w:hAnsi="Times New Roman"/>
          <w:sz w:val="24"/>
          <w:szCs w:val="24"/>
        </w:rPr>
        <w:t>CSS</w:t>
      </w:r>
      <w:r w:rsidRPr="007E40FA">
        <w:rPr>
          <w:rFonts w:ascii="Times New Roman" w:hAnsi="Times New Roman"/>
          <w:sz w:val="24"/>
          <w:szCs w:val="24"/>
          <w:lang w:val="en-US"/>
        </w:rPr>
        <w:t xml:space="preserve"> gallery images of CTCs captured the adapted mouse </w:t>
      </w:r>
      <w:r w:rsidR="004C0272" w:rsidRPr="007E40FA">
        <w:rPr>
          <w:rFonts w:ascii="Times New Roman" w:hAnsi="Times New Roman"/>
          <w:sz w:val="24"/>
          <w:szCs w:val="24"/>
          <w:lang w:val="en-US"/>
        </w:rPr>
        <w:t>CSS</w:t>
      </w:r>
      <w:r w:rsidRPr="007E40FA">
        <w:rPr>
          <w:rFonts w:ascii="Times New Roman" w:hAnsi="Times New Roman"/>
          <w:sz w:val="24"/>
          <w:szCs w:val="24"/>
          <w:lang w:val="en-US"/>
        </w:rPr>
        <w:t xml:space="preserve"> protocol</w:t>
      </w:r>
      <w:r w:rsidR="00D372EA" w:rsidRPr="007E40FA">
        <w:rPr>
          <w:rFonts w:ascii="Times New Roman" w:hAnsi="Times New Roman"/>
          <w:sz w:val="24"/>
          <w:szCs w:val="24"/>
          <w:lang w:val="en-US"/>
        </w:rPr>
        <w:t xml:space="preserve"> demonstrating that HLA-AF488 is able to distinguish human from mouse cells.</w:t>
      </w:r>
      <w:r w:rsidRPr="007E40FA">
        <w:rPr>
          <w:rFonts w:ascii="Times New Roman" w:hAnsi="Times New Roman"/>
          <w:sz w:val="24"/>
          <w:szCs w:val="24"/>
          <w:lang w:val="en-US"/>
        </w:rPr>
        <w:t xml:space="preserve"> </w:t>
      </w:r>
      <w:r w:rsidRPr="007E40FA">
        <w:rPr>
          <w:rFonts w:ascii="Times New Roman" w:hAnsi="Times New Roman"/>
          <w:b/>
          <w:sz w:val="24"/>
          <w:szCs w:val="24"/>
          <w:lang w:val="en-US"/>
        </w:rPr>
        <w:t>(C)</w:t>
      </w:r>
      <w:r w:rsidRPr="007E40FA">
        <w:rPr>
          <w:rFonts w:ascii="Times New Roman" w:hAnsi="Times New Roman"/>
          <w:sz w:val="24"/>
          <w:szCs w:val="24"/>
          <w:lang w:val="en-US"/>
        </w:rPr>
        <w:t xml:space="preserve"> </w:t>
      </w:r>
      <w:r w:rsidR="007B6F3F" w:rsidRPr="007E40FA">
        <w:rPr>
          <w:rFonts w:ascii="Times New Roman" w:hAnsi="Times New Roman"/>
          <w:sz w:val="24"/>
          <w:szCs w:val="24"/>
          <w:lang w:val="en-US"/>
        </w:rPr>
        <w:t>Analysis of c</w:t>
      </w:r>
      <w:r w:rsidRPr="007E40FA">
        <w:rPr>
          <w:rFonts w:ascii="Times New Roman" w:hAnsi="Times New Roman"/>
          <w:sz w:val="24"/>
          <w:szCs w:val="24"/>
          <w:lang w:val="en-US"/>
        </w:rPr>
        <w:t>orrelation and</w:t>
      </w:r>
      <w:r w:rsidR="00815D07" w:rsidRPr="007E40FA">
        <w:rPr>
          <w:rFonts w:ascii="Times New Roman" w:hAnsi="Times New Roman"/>
          <w:sz w:val="24"/>
          <w:szCs w:val="24"/>
          <w:lang w:val="en-US"/>
        </w:rPr>
        <w:t xml:space="preserve"> linear</w:t>
      </w:r>
      <w:r w:rsidRPr="007E40FA">
        <w:rPr>
          <w:rFonts w:ascii="Times New Roman" w:hAnsi="Times New Roman"/>
          <w:sz w:val="24"/>
          <w:szCs w:val="24"/>
          <w:lang w:val="en-US"/>
        </w:rPr>
        <w:t xml:space="preserve"> regression </w:t>
      </w:r>
      <w:r w:rsidR="007B6F3F" w:rsidRPr="007E40FA">
        <w:rPr>
          <w:rFonts w:ascii="Times New Roman" w:hAnsi="Times New Roman"/>
          <w:sz w:val="24"/>
          <w:szCs w:val="24"/>
          <w:lang w:val="en-US"/>
        </w:rPr>
        <w:t xml:space="preserve">of </w:t>
      </w:r>
      <w:r w:rsidR="009724BA" w:rsidRPr="007E40FA">
        <w:rPr>
          <w:rFonts w:ascii="Times New Roman" w:hAnsi="Times New Roman"/>
          <w:sz w:val="24"/>
          <w:szCs w:val="24"/>
          <w:lang w:val="en-US"/>
        </w:rPr>
        <w:t xml:space="preserve">the expected </w:t>
      </w:r>
      <w:r w:rsidRPr="007E40FA">
        <w:rPr>
          <w:rFonts w:ascii="Times New Roman" w:hAnsi="Times New Roman"/>
          <w:sz w:val="24"/>
          <w:szCs w:val="24"/>
          <w:lang w:val="en-US"/>
        </w:rPr>
        <w:t xml:space="preserve">versus </w:t>
      </w:r>
      <w:r w:rsidR="009724BA" w:rsidRPr="007E40FA">
        <w:rPr>
          <w:rFonts w:ascii="Times New Roman" w:hAnsi="Times New Roman"/>
          <w:sz w:val="24"/>
          <w:szCs w:val="24"/>
          <w:lang w:val="en-US"/>
        </w:rPr>
        <w:t xml:space="preserve">recovered </w:t>
      </w:r>
      <w:r w:rsidRPr="007E40FA">
        <w:rPr>
          <w:rFonts w:ascii="Times New Roman" w:hAnsi="Times New Roman"/>
          <w:sz w:val="24"/>
          <w:szCs w:val="24"/>
          <w:lang w:val="en-US"/>
        </w:rPr>
        <w:t xml:space="preserve">number of </w:t>
      </w:r>
      <w:r w:rsidR="007B6F3F" w:rsidRPr="007E40FA">
        <w:rPr>
          <w:rFonts w:ascii="Times New Roman" w:hAnsi="Times New Roman"/>
          <w:sz w:val="24"/>
          <w:szCs w:val="24"/>
          <w:lang w:val="en-US"/>
        </w:rPr>
        <w:t xml:space="preserve">spiked tumor cells </w:t>
      </w:r>
      <w:r w:rsidRPr="007E40FA">
        <w:rPr>
          <w:rFonts w:ascii="Times New Roman" w:hAnsi="Times New Roman"/>
          <w:sz w:val="24"/>
          <w:szCs w:val="24"/>
          <w:lang w:val="en-US"/>
        </w:rPr>
        <w:t xml:space="preserve">at various </w:t>
      </w:r>
      <w:r w:rsidR="007B6F3F" w:rsidRPr="007E40FA">
        <w:rPr>
          <w:rFonts w:ascii="Times New Roman" w:hAnsi="Times New Roman"/>
          <w:sz w:val="24"/>
          <w:szCs w:val="24"/>
          <w:lang w:val="en-US"/>
        </w:rPr>
        <w:t>concentrations</w:t>
      </w:r>
      <w:r w:rsidR="00D372EA" w:rsidRPr="007E40FA">
        <w:rPr>
          <w:rFonts w:ascii="Times New Roman" w:hAnsi="Times New Roman"/>
          <w:sz w:val="24"/>
          <w:szCs w:val="24"/>
          <w:lang w:val="en-US"/>
        </w:rPr>
        <w:t xml:space="preserve">. </w:t>
      </w:r>
      <w:proofErr w:type="spellStart"/>
      <w:r w:rsidR="007B6F3F" w:rsidRPr="007E40FA">
        <w:rPr>
          <w:rFonts w:ascii="Times New Roman" w:hAnsi="Times New Roman"/>
          <w:sz w:val="24"/>
          <w:szCs w:val="24"/>
        </w:rPr>
        <w:t>LNCaP</w:t>
      </w:r>
      <w:proofErr w:type="spellEnd"/>
      <w:r w:rsidR="007B6F3F" w:rsidRPr="007E40FA">
        <w:rPr>
          <w:rFonts w:ascii="Times New Roman" w:hAnsi="Times New Roman"/>
          <w:sz w:val="24"/>
          <w:szCs w:val="24"/>
        </w:rPr>
        <w:t xml:space="preserve"> human prostate cancer cells </w:t>
      </w:r>
      <w:r w:rsidR="00D372EA" w:rsidRPr="007E40FA">
        <w:rPr>
          <w:rFonts w:ascii="Times New Roman" w:hAnsi="Times New Roman"/>
          <w:sz w:val="24"/>
          <w:szCs w:val="24"/>
        </w:rPr>
        <w:t xml:space="preserve">were </w:t>
      </w:r>
      <w:r w:rsidR="007B6F3F" w:rsidRPr="007E40FA">
        <w:rPr>
          <w:rFonts w:ascii="Times New Roman" w:hAnsi="Times New Roman"/>
          <w:sz w:val="24"/>
          <w:szCs w:val="24"/>
        </w:rPr>
        <w:t xml:space="preserve">initially </w:t>
      </w:r>
      <w:r w:rsidR="00D372EA" w:rsidRPr="007E40FA">
        <w:rPr>
          <w:rFonts w:ascii="Times New Roman" w:hAnsi="Times New Roman"/>
          <w:sz w:val="24"/>
          <w:szCs w:val="24"/>
        </w:rPr>
        <w:t xml:space="preserve">counted by </w:t>
      </w:r>
      <w:proofErr w:type="spellStart"/>
      <w:r w:rsidR="00D372EA" w:rsidRPr="007E40FA">
        <w:rPr>
          <w:rFonts w:ascii="Times New Roman" w:hAnsi="Times New Roman"/>
          <w:sz w:val="24"/>
          <w:szCs w:val="24"/>
        </w:rPr>
        <w:t>hemocytometer</w:t>
      </w:r>
      <w:proofErr w:type="spellEnd"/>
      <w:r w:rsidR="00D372EA" w:rsidRPr="007E40FA">
        <w:rPr>
          <w:rFonts w:ascii="Times New Roman" w:hAnsi="Times New Roman"/>
          <w:sz w:val="24"/>
          <w:szCs w:val="24"/>
        </w:rPr>
        <w:t xml:space="preserve"> and </w:t>
      </w:r>
      <w:r w:rsidR="007B6F3F" w:rsidRPr="007E40FA">
        <w:rPr>
          <w:rFonts w:ascii="Times New Roman" w:hAnsi="Times New Roman"/>
          <w:sz w:val="24"/>
          <w:szCs w:val="24"/>
        </w:rPr>
        <w:t xml:space="preserve">subsequently </w:t>
      </w:r>
      <w:r w:rsidR="00D372EA" w:rsidRPr="007E40FA">
        <w:rPr>
          <w:rFonts w:ascii="Times New Roman" w:hAnsi="Times New Roman"/>
          <w:sz w:val="24"/>
          <w:szCs w:val="24"/>
        </w:rPr>
        <w:t xml:space="preserve">spiked into mouse blood at a concentration of </w:t>
      </w:r>
      <w:r w:rsidR="00D2014B" w:rsidRPr="007E40FA">
        <w:rPr>
          <w:rFonts w:ascii="Times New Roman" w:hAnsi="Times New Roman"/>
          <w:sz w:val="24"/>
          <w:szCs w:val="24"/>
        </w:rPr>
        <w:t>~</w:t>
      </w:r>
      <w:r w:rsidR="00D372EA" w:rsidRPr="007E40FA">
        <w:rPr>
          <w:rFonts w:ascii="Times New Roman" w:hAnsi="Times New Roman"/>
          <w:sz w:val="24"/>
          <w:szCs w:val="24"/>
        </w:rPr>
        <w:t>1</w:t>
      </w:r>
      <w:r w:rsidR="009E154B" w:rsidRPr="007E40FA">
        <w:rPr>
          <w:rFonts w:ascii="Times New Roman" w:hAnsi="Times New Roman"/>
          <w:sz w:val="24"/>
          <w:szCs w:val="24"/>
        </w:rPr>
        <w:t>,</w:t>
      </w:r>
      <w:r w:rsidR="00D372EA" w:rsidRPr="007E40FA">
        <w:rPr>
          <w:rFonts w:ascii="Times New Roman" w:hAnsi="Times New Roman"/>
          <w:sz w:val="24"/>
          <w:szCs w:val="24"/>
        </w:rPr>
        <w:t xml:space="preserve">000 tumor cells/50µl of blood. </w:t>
      </w:r>
      <w:r w:rsidR="007B6F3F" w:rsidRPr="007E40FA">
        <w:rPr>
          <w:rFonts w:ascii="Times New Roman" w:hAnsi="Times New Roman"/>
          <w:sz w:val="24"/>
          <w:szCs w:val="24"/>
        </w:rPr>
        <w:t xml:space="preserve">Spiked mouse </w:t>
      </w:r>
      <w:r w:rsidR="00D372EA" w:rsidRPr="007E40FA">
        <w:rPr>
          <w:rFonts w:ascii="Times New Roman" w:hAnsi="Times New Roman"/>
          <w:sz w:val="24"/>
          <w:szCs w:val="24"/>
        </w:rPr>
        <w:t xml:space="preserve">blood was then serially diluted to a concentration of 5 tumor cells/50µl and processed using the mouse adapted </w:t>
      </w:r>
      <w:r w:rsidR="004C0272" w:rsidRPr="007E40FA">
        <w:rPr>
          <w:rFonts w:ascii="Times New Roman" w:hAnsi="Times New Roman"/>
          <w:sz w:val="24"/>
          <w:szCs w:val="24"/>
        </w:rPr>
        <w:t>CSS</w:t>
      </w:r>
      <w:r w:rsidR="00D372EA" w:rsidRPr="007E40FA">
        <w:rPr>
          <w:rFonts w:ascii="Times New Roman" w:hAnsi="Times New Roman"/>
          <w:sz w:val="24"/>
          <w:szCs w:val="24"/>
        </w:rPr>
        <w:t xml:space="preserve"> protocol</w:t>
      </w:r>
      <w:r w:rsidRPr="007E40FA">
        <w:rPr>
          <w:rFonts w:ascii="Times New Roman" w:hAnsi="Times New Roman"/>
          <w:sz w:val="24"/>
          <w:szCs w:val="24"/>
          <w:lang w:val="en-US"/>
        </w:rPr>
        <w:t xml:space="preserve"> (n=3).</w:t>
      </w:r>
    </w:p>
    <w:p w:rsidR="009E30BC" w:rsidRPr="007E40FA" w:rsidRDefault="009E30BC" w:rsidP="001F0875">
      <w:pPr>
        <w:spacing w:after="0" w:line="240" w:lineRule="auto"/>
        <w:jc w:val="both"/>
        <w:rPr>
          <w:rFonts w:ascii="Times New Roman" w:hAnsi="Times New Roman"/>
          <w:sz w:val="24"/>
          <w:szCs w:val="24"/>
          <w:lang w:val="en-US"/>
        </w:rPr>
      </w:pPr>
    </w:p>
    <w:p w:rsidR="009E30BC" w:rsidRPr="007E40FA" w:rsidRDefault="009E30BC" w:rsidP="001F0875">
      <w:pPr>
        <w:spacing w:after="0" w:line="240" w:lineRule="auto"/>
        <w:jc w:val="both"/>
        <w:rPr>
          <w:rFonts w:ascii="Times New Roman" w:hAnsi="Times New Roman"/>
          <w:b/>
          <w:sz w:val="24"/>
          <w:szCs w:val="24"/>
        </w:rPr>
      </w:pPr>
      <w:r w:rsidRPr="007E40FA">
        <w:rPr>
          <w:rFonts w:ascii="Times New Roman" w:hAnsi="Times New Roman"/>
          <w:b/>
          <w:sz w:val="24"/>
          <w:szCs w:val="24"/>
          <w:lang w:val="en-US"/>
        </w:rPr>
        <w:t xml:space="preserve">Table 1: </w:t>
      </w:r>
      <w:r w:rsidR="00201C52" w:rsidRPr="007E40FA">
        <w:rPr>
          <w:rFonts w:ascii="Times New Roman" w:hAnsi="Times New Roman"/>
          <w:b/>
          <w:sz w:val="24"/>
          <w:szCs w:val="24"/>
          <w:lang w:val="en-US"/>
        </w:rPr>
        <w:t xml:space="preserve">Total volume requirements for the </w:t>
      </w:r>
      <w:r w:rsidR="004C0272" w:rsidRPr="007E40FA">
        <w:rPr>
          <w:rFonts w:ascii="Times New Roman" w:hAnsi="Times New Roman"/>
          <w:b/>
          <w:sz w:val="24"/>
          <w:szCs w:val="24"/>
          <w:lang w:val="en-US"/>
        </w:rPr>
        <w:t>CSS</w:t>
      </w:r>
      <w:r w:rsidR="00201C52" w:rsidRPr="007E40FA">
        <w:rPr>
          <w:rFonts w:ascii="Times New Roman" w:hAnsi="Times New Roman"/>
          <w:b/>
          <w:sz w:val="24"/>
          <w:szCs w:val="24"/>
          <w:lang w:val="en-US"/>
        </w:rPr>
        <w:t xml:space="preserve"> when processing various numbers of samples with a user-defined marker.</w:t>
      </w:r>
    </w:p>
    <w:p w:rsidR="009E30BC" w:rsidRPr="007E40FA" w:rsidRDefault="009E30BC" w:rsidP="001F0875">
      <w:pPr>
        <w:pStyle w:val="ListParagraph"/>
        <w:spacing w:line="240" w:lineRule="auto"/>
        <w:ind w:left="0"/>
        <w:jc w:val="both"/>
        <w:rPr>
          <w:rFonts w:ascii="Times New Roman" w:hAnsi="Times New Roman"/>
          <w:sz w:val="24"/>
          <w:szCs w:val="24"/>
          <w:u w:val="single"/>
        </w:rPr>
      </w:pPr>
    </w:p>
    <w:p w:rsidR="00455918" w:rsidRPr="007E40FA" w:rsidRDefault="00455918" w:rsidP="001F0875">
      <w:pPr>
        <w:jc w:val="both"/>
        <w:rPr>
          <w:rFonts w:ascii="Times New Roman" w:hAnsi="Times New Roman"/>
          <w:b/>
          <w:sz w:val="24"/>
          <w:szCs w:val="24"/>
        </w:rPr>
      </w:pPr>
      <w:r w:rsidRPr="007E40FA">
        <w:rPr>
          <w:rFonts w:ascii="Times New Roman" w:hAnsi="Times New Roman"/>
          <w:b/>
          <w:sz w:val="24"/>
          <w:szCs w:val="24"/>
        </w:rPr>
        <w:br w:type="page"/>
      </w:r>
    </w:p>
    <w:p w:rsidR="009D2E8B" w:rsidRPr="007E40FA" w:rsidRDefault="009D2E8B" w:rsidP="001F0875">
      <w:pPr>
        <w:pStyle w:val="ListParagraph"/>
        <w:spacing w:after="0" w:line="240" w:lineRule="auto"/>
        <w:ind w:left="0"/>
        <w:jc w:val="both"/>
        <w:rPr>
          <w:rFonts w:ascii="Times New Roman" w:hAnsi="Times New Roman"/>
          <w:b/>
          <w:sz w:val="24"/>
          <w:szCs w:val="24"/>
        </w:rPr>
      </w:pPr>
      <w:r w:rsidRPr="007E40FA">
        <w:rPr>
          <w:rFonts w:ascii="Times New Roman" w:hAnsi="Times New Roman"/>
          <w:b/>
          <w:sz w:val="24"/>
          <w:szCs w:val="24"/>
        </w:rPr>
        <w:lastRenderedPageBreak/>
        <w:t>DISCUSSION:</w:t>
      </w:r>
    </w:p>
    <w:p w:rsidR="00976E39" w:rsidRPr="007E40FA" w:rsidRDefault="00976E39" w:rsidP="001F0875">
      <w:pPr>
        <w:spacing w:after="0" w:line="240" w:lineRule="auto"/>
        <w:jc w:val="both"/>
        <w:rPr>
          <w:rFonts w:ascii="Times New Roman" w:hAnsi="Times New Roman"/>
          <w:sz w:val="24"/>
          <w:szCs w:val="24"/>
        </w:rPr>
      </w:pPr>
    </w:p>
    <w:p w:rsidR="00976E39" w:rsidRPr="007E40FA" w:rsidRDefault="001201D9" w:rsidP="001F0875">
      <w:pPr>
        <w:spacing w:after="0" w:line="240" w:lineRule="auto"/>
        <w:jc w:val="both"/>
        <w:rPr>
          <w:rFonts w:ascii="Times New Roman" w:hAnsi="Times New Roman"/>
          <w:sz w:val="24"/>
          <w:szCs w:val="24"/>
        </w:rPr>
      </w:pPr>
      <w:r w:rsidRPr="007E40FA">
        <w:rPr>
          <w:rFonts w:ascii="Times New Roman" w:hAnsi="Times New Roman"/>
          <w:sz w:val="24"/>
          <w:szCs w:val="24"/>
        </w:rPr>
        <w:t xml:space="preserve">Despite the development of many new CTC technologies since the introduction of the </w:t>
      </w:r>
      <w:r w:rsidR="004C0272" w:rsidRPr="007E40FA">
        <w:rPr>
          <w:rFonts w:ascii="Times New Roman" w:hAnsi="Times New Roman"/>
          <w:sz w:val="24"/>
          <w:szCs w:val="24"/>
        </w:rPr>
        <w:t>CSS</w:t>
      </w:r>
      <w:r w:rsidRPr="007E40FA">
        <w:rPr>
          <w:rFonts w:ascii="Times New Roman" w:hAnsi="Times New Roman"/>
          <w:sz w:val="24"/>
          <w:szCs w:val="24"/>
        </w:rPr>
        <w:t xml:space="preserve"> in 2004, this technique is still the only clinically approved technology on the market today and therefore it is considered the current gold standard for CTC detection and enumeration. </w:t>
      </w:r>
      <w:r w:rsidR="005E5B56" w:rsidRPr="007E40FA">
        <w:rPr>
          <w:rFonts w:ascii="Times New Roman" w:hAnsi="Times New Roman"/>
          <w:sz w:val="24"/>
          <w:szCs w:val="24"/>
        </w:rPr>
        <w:t>T</w:t>
      </w:r>
      <w:r w:rsidRPr="007E40FA">
        <w:rPr>
          <w:rFonts w:ascii="Times New Roman" w:hAnsi="Times New Roman"/>
          <w:sz w:val="24"/>
          <w:szCs w:val="24"/>
        </w:rPr>
        <w:t xml:space="preserve">his manuscript </w:t>
      </w:r>
      <w:r w:rsidR="005E5B56" w:rsidRPr="007E40FA">
        <w:rPr>
          <w:rFonts w:ascii="Times New Roman" w:hAnsi="Times New Roman"/>
          <w:sz w:val="24"/>
          <w:szCs w:val="24"/>
        </w:rPr>
        <w:t xml:space="preserve">has demonstrated </w:t>
      </w:r>
      <w:r w:rsidRPr="007E40FA">
        <w:rPr>
          <w:rFonts w:ascii="Times New Roman" w:hAnsi="Times New Roman"/>
          <w:sz w:val="24"/>
          <w:szCs w:val="24"/>
        </w:rPr>
        <w:t xml:space="preserve">that although the </w:t>
      </w:r>
      <w:r w:rsidR="004C0272" w:rsidRPr="007E40FA">
        <w:rPr>
          <w:rFonts w:ascii="Times New Roman" w:hAnsi="Times New Roman"/>
          <w:sz w:val="24"/>
          <w:szCs w:val="24"/>
        </w:rPr>
        <w:t>CSS</w:t>
      </w:r>
      <w:r w:rsidRPr="007E40FA">
        <w:rPr>
          <w:rFonts w:ascii="Times New Roman" w:hAnsi="Times New Roman"/>
          <w:sz w:val="24"/>
          <w:szCs w:val="24"/>
        </w:rPr>
        <w:t xml:space="preserve"> has rigorous quality control standards it can be subject to interpretation bias and that CTC identification in patient samples is much different from </w:t>
      </w:r>
      <w:r w:rsidR="005E5B56" w:rsidRPr="007E40FA">
        <w:rPr>
          <w:rFonts w:ascii="Times New Roman" w:hAnsi="Times New Roman"/>
          <w:sz w:val="24"/>
          <w:szCs w:val="24"/>
        </w:rPr>
        <w:t xml:space="preserve">identification in </w:t>
      </w:r>
      <w:r w:rsidRPr="007E40FA">
        <w:rPr>
          <w:rFonts w:ascii="Times New Roman" w:hAnsi="Times New Roman"/>
          <w:sz w:val="24"/>
          <w:szCs w:val="24"/>
        </w:rPr>
        <w:t xml:space="preserve">spiked samples. </w:t>
      </w:r>
      <w:r w:rsidR="005E5B56" w:rsidRPr="007E40FA">
        <w:rPr>
          <w:rFonts w:ascii="Times New Roman" w:hAnsi="Times New Roman"/>
          <w:sz w:val="24"/>
          <w:szCs w:val="24"/>
        </w:rPr>
        <w:t>Six</w:t>
      </w:r>
      <w:r w:rsidRPr="007E40FA">
        <w:rPr>
          <w:rFonts w:ascii="Times New Roman" w:hAnsi="Times New Roman"/>
          <w:sz w:val="24"/>
          <w:szCs w:val="24"/>
        </w:rPr>
        <w:t xml:space="preserve"> categories of commonly discrepant items </w:t>
      </w:r>
      <w:r w:rsidR="005E5B56" w:rsidRPr="007E40FA">
        <w:rPr>
          <w:rFonts w:ascii="Times New Roman" w:hAnsi="Times New Roman"/>
          <w:sz w:val="24"/>
          <w:szCs w:val="24"/>
        </w:rPr>
        <w:t xml:space="preserve">were identified </w:t>
      </w:r>
      <w:r w:rsidRPr="007E40FA">
        <w:rPr>
          <w:rFonts w:ascii="Times New Roman" w:hAnsi="Times New Roman"/>
          <w:sz w:val="24"/>
          <w:szCs w:val="24"/>
        </w:rPr>
        <w:t xml:space="preserve">that can cause </w:t>
      </w:r>
      <w:r w:rsidR="005E5B56" w:rsidRPr="007E40FA">
        <w:rPr>
          <w:rFonts w:ascii="Times New Roman" w:hAnsi="Times New Roman"/>
          <w:sz w:val="24"/>
          <w:szCs w:val="24"/>
        </w:rPr>
        <w:t xml:space="preserve">CTC </w:t>
      </w:r>
      <w:r w:rsidRPr="007E40FA">
        <w:rPr>
          <w:rFonts w:ascii="Times New Roman" w:hAnsi="Times New Roman"/>
          <w:sz w:val="24"/>
          <w:szCs w:val="24"/>
        </w:rPr>
        <w:t xml:space="preserve">misclassifications to occur. These discrepant items highlight the need for multiple reviewers on each patient sample processed on this instrument. In addition, the differences observed in spiked versus patient obtained CTCs demonstrates that there is a necessity for </w:t>
      </w:r>
      <w:r w:rsidR="005E5B56" w:rsidRPr="007E40FA">
        <w:rPr>
          <w:rFonts w:ascii="Times New Roman" w:hAnsi="Times New Roman"/>
          <w:sz w:val="24"/>
          <w:szCs w:val="24"/>
        </w:rPr>
        <w:t xml:space="preserve">any </w:t>
      </w:r>
      <w:r w:rsidRPr="007E40FA">
        <w:rPr>
          <w:rFonts w:ascii="Times New Roman" w:hAnsi="Times New Roman"/>
          <w:sz w:val="24"/>
          <w:szCs w:val="24"/>
        </w:rPr>
        <w:t xml:space="preserve">new CTC technologies to be validated in both spiked and patient samples. In addition, </w:t>
      </w:r>
      <w:r w:rsidR="00A35C2E" w:rsidRPr="007E40FA">
        <w:rPr>
          <w:rFonts w:ascii="Times New Roman" w:hAnsi="Times New Roman"/>
          <w:sz w:val="24"/>
          <w:szCs w:val="24"/>
        </w:rPr>
        <w:t xml:space="preserve">these new technologies must be compared to </w:t>
      </w:r>
      <w:r w:rsidR="0077734C" w:rsidRPr="007E40FA">
        <w:rPr>
          <w:rFonts w:ascii="Times New Roman" w:hAnsi="Times New Roman"/>
          <w:sz w:val="24"/>
          <w:szCs w:val="24"/>
        </w:rPr>
        <w:t xml:space="preserve">the gold standard </w:t>
      </w:r>
      <w:r w:rsidR="004C0272" w:rsidRPr="007E40FA">
        <w:rPr>
          <w:rFonts w:ascii="Times New Roman" w:hAnsi="Times New Roman"/>
          <w:sz w:val="24"/>
          <w:szCs w:val="24"/>
        </w:rPr>
        <w:t>CSS</w:t>
      </w:r>
      <w:r w:rsidR="0077734C" w:rsidRPr="007E40FA">
        <w:rPr>
          <w:rFonts w:ascii="Times New Roman" w:hAnsi="Times New Roman"/>
          <w:sz w:val="24"/>
          <w:szCs w:val="24"/>
        </w:rPr>
        <w:t xml:space="preserve"> </w:t>
      </w:r>
      <w:r w:rsidR="00A35C2E" w:rsidRPr="007E40FA">
        <w:rPr>
          <w:rFonts w:ascii="Times New Roman" w:hAnsi="Times New Roman"/>
          <w:sz w:val="24"/>
          <w:szCs w:val="24"/>
        </w:rPr>
        <w:t xml:space="preserve">using </w:t>
      </w:r>
      <w:r w:rsidR="00796AED" w:rsidRPr="007E40FA">
        <w:rPr>
          <w:rFonts w:ascii="Times New Roman" w:hAnsi="Times New Roman"/>
          <w:sz w:val="24"/>
          <w:szCs w:val="24"/>
        </w:rPr>
        <w:t xml:space="preserve">split sample testing of </w:t>
      </w:r>
      <w:r w:rsidR="00A35C2E" w:rsidRPr="007E40FA">
        <w:rPr>
          <w:rFonts w:ascii="Times New Roman" w:hAnsi="Times New Roman"/>
          <w:sz w:val="24"/>
          <w:szCs w:val="24"/>
        </w:rPr>
        <w:t xml:space="preserve">both spiked and patient samples, as efficient CTC capture from spiked samples only does not necessarily reflect CTC capture efficiency in patient samples.     </w:t>
      </w:r>
      <w:r w:rsidRPr="007E40FA">
        <w:rPr>
          <w:rFonts w:ascii="Times New Roman" w:hAnsi="Times New Roman"/>
          <w:sz w:val="24"/>
          <w:szCs w:val="24"/>
        </w:rPr>
        <w:t xml:space="preserve">   </w:t>
      </w:r>
    </w:p>
    <w:p w:rsidR="00976E39" w:rsidRPr="007E40FA" w:rsidRDefault="00976E39" w:rsidP="001F0875">
      <w:pPr>
        <w:spacing w:after="0" w:line="240" w:lineRule="auto"/>
        <w:jc w:val="both"/>
        <w:rPr>
          <w:rFonts w:ascii="Times New Roman" w:hAnsi="Times New Roman"/>
          <w:sz w:val="24"/>
          <w:szCs w:val="24"/>
        </w:rPr>
      </w:pPr>
    </w:p>
    <w:p w:rsidR="00A35C2E" w:rsidRPr="007E40FA" w:rsidRDefault="000C45FB" w:rsidP="001F0875">
      <w:pPr>
        <w:spacing w:after="0" w:line="240" w:lineRule="auto"/>
        <w:jc w:val="both"/>
        <w:rPr>
          <w:rFonts w:ascii="Times New Roman" w:hAnsi="Times New Roman"/>
          <w:sz w:val="24"/>
          <w:szCs w:val="24"/>
        </w:rPr>
      </w:pPr>
      <w:r w:rsidRPr="007E40FA">
        <w:rPr>
          <w:rFonts w:ascii="Times New Roman" w:hAnsi="Times New Roman"/>
          <w:sz w:val="24"/>
          <w:szCs w:val="24"/>
        </w:rPr>
        <w:t xml:space="preserve">Although the </w:t>
      </w:r>
      <w:r w:rsidR="004C0272" w:rsidRPr="007E40FA">
        <w:rPr>
          <w:rFonts w:ascii="Times New Roman" w:hAnsi="Times New Roman"/>
          <w:sz w:val="24"/>
          <w:szCs w:val="24"/>
        </w:rPr>
        <w:t>CSS</w:t>
      </w:r>
      <w:r w:rsidRPr="007E40FA">
        <w:rPr>
          <w:rFonts w:ascii="Times New Roman" w:hAnsi="Times New Roman"/>
          <w:sz w:val="24"/>
          <w:szCs w:val="24"/>
        </w:rPr>
        <w:t xml:space="preserve"> has the capability to perform characterization of captured CTCs</w:t>
      </w:r>
      <w:r w:rsidR="005E5B56" w:rsidRPr="007E40FA">
        <w:rPr>
          <w:rFonts w:ascii="Times New Roman" w:hAnsi="Times New Roman"/>
          <w:sz w:val="24"/>
          <w:szCs w:val="24"/>
        </w:rPr>
        <w:t>,</w:t>
      </w:r>
      <w:r w:rsidRPr="007E40FA">
        <w:rPr>
          <w:rFonts w:ascii="Times New Roman" w:hAnsi="Times New Roman"/>
          <w:sz w:val="24"/>
          <w:szCs w:val="24"/>
        </w:rPr>
        <w:t xml:space="preserve"> it is quite restricted with regards to highly customizable optimization. In general, the only parameters that can be changed on this instrument for optimization of user-defined markers are the antibody concentration and the length of time that</w:t>
      </w:r>
      <w:r w:rsidR="005E5B56" w:rsidRPr="007E40FA">
        <w:rPr>
          <w:rFonts w:ascii="Times New Roman" w:hAnsi="Times New Roman"/>
          <w:sz w:val="24"/>
          <w:szCs w:val="24"/>
        </w:rPr>
        <w:t xml:space="preserve"> the</w:t>
      </w:r>
      <w:r w:rsidRPr="007E40FA">
        <w:rPr>
          <w:rFonts w:ascii="Times New Roman" w:hAnsi="Times New Roman"/>
          <w:sz w:val="24"/>
          <w:szCs w:val="24"/>
        </w:rPr>
        <w:t xml:space="preserve"> </w:t>
      </w:r>
      <w:proofErr w:type="spellStart"/>
      <w:r w:rsidRPr="007E40FA">
        <w:rPr>
          <w:rFonts w:ascii="Times New Roman" w:hAnsi="Times New Roman"/>
          <w:sz w:val="24"/>
          <w:szCs w:val="24"/>
        </w:rPr>
        <w:t>fluorophore</w:t>
      </w:r>
      <w:proofErr w:type="spellEnd"/>
      <w:r w:rsidRPr="007E40FA">
        <w:rPr>
          <w:rFonts w:ascii="Times New Roman" w:hAnsi="Times New Roman"/>
          <w:sz w:val="24"/>
          <w:szCs w:val="24"/>
        </w:rPr>
        <w:t xml:space="preserve"> is exposed to the mercury lamp. This limited capacity for optimization can present problems when working-up user-defined markers on the </w:t>
      </w:r>
      <w:r w:rsidR="004C0272" w:rsidRPr="007E40FA">
        <w:rPr>
          <w:rFonts w:ascii="Times New Roman" w:hAnsi="Times New Roman"/>
          <w:sz w:val="24"/>
          <w:szCs w:val="24"/>
        </w:rPr>
        <w:t>CSS</w:t>
      </w:r>
      <w:r w:rsidRPr="007E40FA">
        <w:rPr>
          <w:rFonts w:ascii="Times New Roman" w:hAnsi="Times New Roman"/>
          <w:sz w:val="24"/>
          <w:szCs w:val="24"/>
        </w:rPr>
        <w:t>. One solution proposed in this manuscript (described in detail previously</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"10.1002/cyto.a.22158", "ISSN" : "1552-4930", "PMID" : "22899576", "abstract" : "The majority of cancer-related deaths result from metastasis, which has been associated with the presence of circulating tumor cells (CTCs). It has been shown that CTC cut-off values exist that predict for poorer overall survival in metastatic breast (\u22655), prostate (\u22655), and colorectal (\u22653) cancer based on assessment of 7.5 ml of blood. Development of the CellSearch\u00ae system (Veridex) has allowed for sensitive enumeration of CTCs. In the current study, protocols were developed and optimized for use with the CellSearch system to characterize CTCs with respect to user-defined protein markers of interest in human blood samples, including the cancer stem cell marker CD44 and the apoptosis marker M-30. Flow cytometry (FCM) experiments were initially carried out to assess expression of CD44 and M-30 on MDA-MB-468 human tumor cells. Human blood samples were then spiked with MDA-MB-468 cells and processed with the appropriate antibody (CD44/M-30) on the CellSearch. Detailed optimization of CD44 was carried out on the CellSearch using various antibody concentrations, exposure times, and cell lines with varying CD44 expression. Troubleshooting experiments were undertaken to explain observed discrepancies between FCM and CellSearch results for the M-30 marker. After extensive optimization, the best CD44/M-30 concentrations and exposure times were determined to be 1.5/3.5 \u03bcg/ml and 0.2/0.8 s, respectively. The percentage of CD44(+) tumor cells was 99.5 \u00b1 0.39% by FCM and 98.8 \u00b1 0.51% by the CellSearch system. The percentage of M-30(+) tumor cells following paclitaxel treatment was 17.6 \u00b1 1.18% by FCM and 10.9 \u00b1 2.41% by CellSearch. Proper optimization of the CD44 marker was achieved; however, M-30 does not appear to be a suitable marker for use in this platform. Taken together, the current study provides a detailed description of the process of user-defined protein marker development and optimization using the CellSearch, and will be an important resource for the future development of protein marker assays by users of this platform.", "author" : [ { "dropping-particle" : "", "family" : "Lowes", "given" : "Lori E", "non-dropping-particle" : "", "parse-names" : false, "suffix" : "" }, { "dropping-particle" : "", "family" : "Hedley", "given" : "Benjamin D", "non-dropping-particle" : "", "parse-names" : false, "suffix" : "" }, { "dropping-particle" : "", "family" : "Keeney", "given" : "Mike", "non-dropping-particle" : "", "parse-names" : false, "suffix" : "" }, { "dropping-particle" : "", "family" : "Allan", "given" : "Alison L", "non-dropping-particle" : "", "parse-names" : false, "suffix" : "" } ], "container-title" : "Cytometry. Part A : the journal of the International Society for Analytical Cytology", "id" : "ITEM-1", "issue" : "11", "issued" : { "date-parts" : [ [ "2012", "11" ] ] }, "page" : "983-95", "title" : "User-defined protein marker assay development for characterization of circulating tumor cells using the CellSearch\u00ae system.", "type" : "article-journal", "volume" : "81" }, "uris" : [ "http://www.mendeley.com/documents/?uuid=a9a3aebd-cff0-4e16-8c3a-76b63633aab6" ] } ], "mendeley" : { "previouslyFormattedCitation" : "&lt;sup&gt;16&lt;/sup&gt;"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16</w:t>
      </w:r>
      <w:r w:rsidR="0036708D" w:rsidRPr="007E40FA">
        <w:rPr>
          <w:rFonts w:ascii="Times New Roman" w:hAnsi="Times New Roman"/>
          <w:sz w:val="24"/>
          <w:szCs w:val="24"/>
        </w:rPr>
        <w:fldChar w:fldCharType="end"/>
      </w:r>
      <w:r w:rsidRPr="007E40FA">
        <w:rPr>
          <w:rFonts w:ascii="Times New Roman" w:hAnsi="Times New Roman"/>
          <w:sz w:val="24"/>
          <w:szCs w:val="24"/>
        </w:rPr>
        <w:t xml:space="preserve">) is the use of the </w:t>
      </w:r>
      <w:r w:rsidR="00EB225B" w:rsidRPr="007E40FA">
        <w:rPr>
          <w:rFonts w:ascii="Times New Roman" w:hAnsi="Times New Roman"/>
          <w:sz w:val="24"/>
          <w:szCs w:val="24"/>
        </w:rPr>
        <w:t xml:space="preserve">low antigen density CTC </w:t>
      </w:r>
      <w:r w:rsidRPr="007E40FA">
        <w:rPr>
          <w:rFonts w:ascii="Times New Roman" w:hAnsi="Times New Roman"/>
          <w:sz w:val="24"/>
          <w:szCs w:val="24"/>
        </w:rPr>
        <w:t>kit which switches the FITC and PE fluorescent channels allowing for better visualization of markers with a low antigen density. Regardless of which kit is utilized (</w:t>
      </w:r>
      <w:r w:rsidR="00EB225B" w:rsidRPr="007E40FA">
        <w:rPr>
          <w:rFonts w:ascii="Times New Roman" w:hAnsi="Times New Roman"/>
          <w:sz w:val="24"/>
          <w:szCs w:val="24"/>
        </w:rPr>
        <w:t xml:space="preserve">traditional- </w:t>
      </w:r>
      <w:r w:rsidRPr="007E40FA">
        <w:rPr>
          <w:rFonts w:ascii="Times New Roman" w:hAnsi="Times New Roman"/>
          <w:sz w:val="24"/>
          <w:szCs w:val="24"/>
        </w:rPr>
        <w:t xml:space="preserve">or </w:t>
      </w:r>
      <w:r w:rsidR="00EB225B" w:rsidRPr="007E40FA">
        <w:rPr>
          <w:rFonts w:ascii="Times New Roman" w:hAnsi="Times New Roman"/>
          <w:sz w:val="24"/>
          <w:szCs w:val="24"/>
        </w:rPr>
        <w:t>low antigen density CTC kit</w:t>
      </w:r>
      <w:r w:rsidRPr="007E40FA">
        <w:rPr>
          <w:rFonts w:ascii="Times New Roman" w:hAnsi="Times New Roman"/>
          <w:sz w:val="24"/>
          <w:szCs w:val="24"/>
        </w:rPr>
        <w:t xml:space="preserve">) there are several necessary steps that must be undertaken to ensure appropriate marker sensitivity, specificity, and optimization. Firstly, assay sensitivity must </w:t>
      </w:r>
      <w:r w:rsidR="005E5B56" w:rsidRPr="007E40FA">
        <w:rPr>
          <w:rFonts w:ascii="Times New Roman" w:hAnsi="Times New Roman"/>
          <w:sz w:val="24"/>
          <w:szCs w:val="24"/>
        </w:rPr>
        <w:t>be assessed in comparison to a well</w:t>
      </w:r>
      <w:r w:rsidRPr="007E40FA">
        <w:rPr>
          <w:rFonts w:ascii="Times New Roman" w:hAnsi="Times New Roman"/>
          <w:sz w:val="24"/>
          <w:szCs w:val="24"/>
        </w:rPr>
        <w:t xml:space="preserve"> validated method</w:t>
      </w:r>
      <w:r w:rsidR="00622C27" w:rsidRPr="007E40FA">
        <w:rPr>
          <w:rFonts w:ascii="Times New Roman" w:hAnsi="Times New Roman"/>
          <w:sz w:val="24"/>
          <w:szCs w:val="24"/>
        </w:rPr>
        <w:t xml:space="preserve">, such as flow </w:t>
      </w:r>
      <w:proofErr w:type="spellStart"/>
      <w:r w:rsidR="00622C27" w:rsidRPr="007E40FA">
        <w:rPr>
          <w:rFonts w:ascii="Times New Roman" w:hAnsi="Times New Roman"/>
          <w:sz w:val="24"/>
          <w:szCs w:val="24"/>
        </w:rPr>
        <w:t>cytometry</w:t>
      </w:r>
      <w:proofErr w:type="spellEnd"/>
      <w:r w:rsidR="00622C27" w:rsidRPr="007E40FA">
        <w:rPr>
          <w:rFonts w:ascii="Times New Roman" w:hAnsi="Times New Roman"/>
          <w:sz w:val="24"/>
          <w:szCs w:val="24"/>
        </w:rPr>
        <w:t xml:space="preserve">, that will allow </w:t>
      </w:r>
      <w:r w:rsidR="005E5B56" w:rsidRPr="007E40FA">
        <w:rPr>
          <w:rFonts w:ascii="Times New Roman" w:hAnsi="Times New Roman"/>
          <w:sz w:val="24"/>
          <w:szCs w:val="24"/>
        </w:rPr>
        <w:t xml:space="preserve">determination of </w:t>
      </w:r>
      <w:r w:rsidR="00622C27" w:rsidRPr="007E40FA">
        <w:rPr>
          <w:rFonts w:ascii="Times New Roman" w:hAnsi="Times New Roman"/>
          <w:sz w:val="24"/>
          <w:szCs w:val="24"/>
        </w:rPr>
        <w:t xml:space="preserve">the expected detection level (i.e., the % of cells in </w:t>
      </w:r>
      <w:r w:rsidR="00EB225B" w:rsidRPr="007E40FA">
        <w:rPr>
          <w:rFonts w:ascii="Times New Roman" w:hAnsi="Times New Roman"/>
          <w:sz w:val="24"/>
          <w:szCs w:val="24"/>
        </w:rPr>
        <w:t xml:space="preserve">the </w:t>
      </w:r>
      <w:r w:rsidR="00622C27" w:rsidRPr="007E40FA">
        <w:rPr>
          <w:rFonts w:ascii="Times New Roman" w:hAnsi="Times New Roman"/>
          <w:sz w:val="24"/>
          <w:szCs w:val="24"/>
        </w:rPr>
        <w:t xml:space="preserve">cell population that express </w:t>
      </w:r>
      <w:r w:rsidR="00EB225B" w:rsidRPr="007E40FA">
        <w:rPr>
          <w:rFonts w:ascii="Times New Roman" w:hAnsi="Times New Roman"/>
          <w:sz w:val="24"/>
          <w:szCs w:val="24"/>
        </w:rPr>
        <w:t xml:space="preserve">the </w:t>
      </w:r>
      <w:r w:rsidR="00622C27" w:rsidRPr="007E40FA">
        <w:rPr>
          <w:rFonts w:ascii="Times New Roman" w:hAnsi="Times New Roman"/>
          <w:sz w:val="24"/>
          <w:szCs w:val="24"/>
        </w:rPr>
        <w:t>marker of interest) of the user-defined marker. Secondly, the assay must be assessed for its ability to detect the marker of interest in cell lines with various levels of expression (i.e., high and low</w:t>
      </w:r>
      <w:r w:rsidR="005E5B56" w:rsidRPr="007E40FA">
        <w:rPr>
          <w:rFonts w:ascii="Times New Roman" w:hAnsi="Times New Roman"/>
          <w:sz w:val="24"/>
          <w:szCs w:val="24"/>
        </w:rPr>
        <w:t xml:space="preserve"> antigen densities</w:t>
      </w:r>
      <w:r w:rsidR="00622C27" w:rsidRPr="007E40FA">
        <w:rPr>
          <w:rFonts w:ascii="Times New Roman" w:hAnsi="Times New Roman"/>
          <w:sz w:val="24"/>
          <w:szCs w:val="24"/>
        </w:rPr>
        <w:t xml:space="preserve">) and its specificity must be validated in a cell line that is negative for </w:t>
      </w:r>
      <w:r w:rsidR="005E5B56" w:rsidRPr="007E40FA">
        <w:rPr>
          <w:rFonts w:ascii="Times New Roman" w:hAnsi="Times New Roman"/>
          <w:sz w:val="24"/>
          <w:szCs w:val="24"/>
        </w:rPr>
        <w:t>the</w:t>
      </w:r>
      <w:r w:rsidR="00622C27" w:rsidRPr="007E40FA">
        <w:rPr>
          <w:rFonts w:ascii="Times New Roman" w:hAnsi="Times New Roman"/>
          <w:sz w:val="24"/>
          <w:szCs w:val="24"/>
        </w:rPr>
        <w:t xml:space="preserve"> marker of interest. In all cases, all cell lines must be tested using a cells only control (no antibody added), </w:t>
      </w:r>
      <w:r w:rsidR="00912048" w:rsidRPr="007E40FA">
        <w:rPr>
          <w:rFonts w:ascii="Times New Roman" w:hAnsi="Times New Roman"/>
          <w:sz w:val="24"/>
          <w:szCs w:val="24"/>
        </w:rPr>
        <w:t xml:space="preserve">the </w:t>
      </w:r>
      <w:r w:rsidR="00622C27" w:rsidRPr="007E40FA">
        <w:rPr>
          <w:rFonts w:ascii="Times New Roman" w:hAnsi="Times New Roman"/>
          <w:sz w:val="24"/>
          <w:szCs w:val="24"/>
        </w:rPr>
        <w:t xml:space="preserve">appropriate </w:t>
      </w:r>
      <w:proofErr w:type="spellStart"/>
      <w:r w:rsidR="00622C27" w:rsidRPr="007E40FA">
        <w:rPr>
          <w:rFonts w:ascii="Times New Roman" w:hAnsi="Times New Roman"/>
          <w:sz w:val="24"/>
          <w:szCs w:val="24"/>
        </w:rPr>
        <w:t>IgG</w:t>
      </w:r>
      <w:proofErr w:type="spellEnd"/>
      <w:r w:rsidR="00622C27" w:rsidRPr="007E40FA">
        <w:rPr>
          <w:rFonts w:ascii="Times New Roman" w:hAnsi="Times New Roman"/>
          <w:sz w:val="24"/>
          <w:szCs w:val="24"/>
        </w:rPr>
        <w:t xml:space="preserve"> control, and the antibody of interest at various concentrations and exposure times to determine the most appropriate settings that will ensure optimization of the user-defined marker.</w:t>
      </w:r>
      <w:r w:rsidR="00E06F00" w:rsidRPr="007E40FA">
        <w:rPr>
          <w:rFonts w:ascii="Times New Roman" w:hAnsi="Times New Roman"/>
          <w:sz w:val="24"/>
          <w:szCs w:val="24"/>
        </w:rPr>
        <w:t xml:space="preserve"> However, it should be noted that although characterization of CTCs is possible on the </w:t>
      </w:r>
      <w:r w:rsidR="004C0272" w:rsidRPr="007E40FA">
        <w:rPr>
          <w:rFonts w:ascii="Times New Roman" w:hAnsi="Times New Roman"/>
          <w:sz w:val="24"/>
          <w:szCs w:val="24"/>
        </w:rPr>
        <w:t>CSS</w:t>
      </w:r>
      <w:r w:rsidR="005E5B56" w:rsidRPr="007E40FA">
        <w:rPr>
          <w:rFonts w:ascii="Times New Roman" w:hAnsi="Times New Roman"/>
          <w:sz w:val="24"/>
          <w:szCs w:val="24"/>
        </w:rPr>
        <w:t>,</w:t>
      </w:r>
      <w:r w:rsidR="00E06F00" w:rsidRPr="007E40FA">
        <w:rPr>
          <w:rFonts w:ascii="Times New Roman" w:hAnsi="Times New Roman"/>
          <w:sz w:val="24"/>
          <w:szCs w:val="24"/>
        </w:rPr>
        <w:t xml:space="preserve"> currently only one user-defined marker of interest can be explored </w:t>
      </w:r>
      <w:r w:rsidR="0077734C" w:rsidRPr="007E40FA">
        <w:rPr>
          <w:rFonts w:ascii="Times New Roman" w:hAnsi="Times New Roman"/>
          <w:sz w:val="24"/>
          <w:szCs w:val="24"/>
        </w:rPr>
        <w:t>in each sample</w:t>
      </w:r>
      <w:r w:rsidR="003F3597" w:rsidRPr="007E40FA">
        <w:rPr>
          <w:rFonts w:ascii="Times New Roman" w:hAnsi="Times New Roman"/>
          <w:sz w:val="24"/>
          <w:szCs w:val="24"/>
        </w:rPr>
        <w:t>,</w:t>
      </w:r>
      <w:r w:rsidR="00E06F00" w:rsidRPr="007E40FA">
        <w:rPr>
          <w:rFonts w:ascii="Times New Roman" w:hAnsi="Times New Roman"/>
          <w:sz w:val="24"/>
          <w:szCs w:val="24"/>
        </w:rPr>
        <w:t xml:space="preserve"> and that </w:t>
      </w:r>
      <w:r w:rsidR="00425E34" w:rsidRPr="007E40FA">
        <w:rPr>
          <w:rFonts w:ascii="Times New Roman" w:hAnsi="Times New Roman"/>
          <w:sz w:val="24"/>
          <w:szCs w:val="24"/>
        </w:rPr>
        <w:t>the system is very</w:t>
      </w:r>
      <w:r w:rsidR="00E06F00" w:rsidRPr="007E40FA">
        <w:rPr>
          <w:rFonts w:ascii="Times New Roman" w:hAnsi="Times New Roman"/>
          <w:sz w:val="24"/>
          <w:szCs w:val="24"/>
        </w:rPr>
        <w:t xml:space="preserve"> limited with regards to downstream applications due to the harsh </w:t>
      </w:r>
      <w:r w:rsidR="00425E34" w:rsidRPr="007E40FA">
        <w:rPr>
          <w:rFonts w:ascii="Times New Roman" w:hAnsi="Times New Roman"/>
          <w:sz w:val="24"/>
          <w:szCs w:val="24"/>
        </w:rPr>
        <w:t>processing of</w:t>
      </w:r>
      <w:r w:rsidR="00E06F00" w:rsidRPr="007E40FA">
        <w:rPr>
          <w:rFonts w:ascii="Times New Roman" w:hAnsi="Times New Roman"/>
          <w:sz w:val="24"/>
          <w:szCs w:val="24"/>
        </w:rPr>
        <w:t xml:space="preserve"> the samples.</w:t>
      </w:r>
    </w:p>
    <w:p w:rsidR="00E06F00" w:rsidRPr="007E40FA" w:rsidRDefault="00E06F00" w:rsidP="001F0875">
      <w:pPr>
        <w:spacing w:after="0" w:line="240" w:lineRule="auto"/>
        <w:jc w:val="both"/>
        <w:rPr>
          <w:rFonts w:ascii="Times New Roman" w:hAnsi="Times New Roman"/>
          <w:sz w:val="24"/>
          <w:szCs w:val="24"/>
        </w:rPr>
      </w:pPr>
    </w:p>
    <w:p w:rsidR="00622C27" w:rsidRPr="007E40FA" w:rsidRDefault="00AE6B72" w:rsidP="001F0875">
      <w:pPr>
        <w:spacing w:line="240" w:lineRule="auto"/>
        <w:jc w:val="both"/>
        <w:rPr>
          <w:rFonts w:ascii="Times New Roman" w:hAnsi="Times New Roman"/>
          <w:sz w:val="24"/>
          <w:szCs w:val="24"/>
        </w:rPr>
      </w:pPr>
      <w:r w:rsidRPr="007E40FA">
        <w:rPr>
          <w:rFonts w:ascii="Times New Roman" w:hAnsi="Times New Roman"/>
          <w:sz w:val="24"/>
          <w:szCs w:val="24"/>
        </w:rPr>
        <w:t>The unique bedside-to-</w:t>
      </w:r>
      <w:proofErr w:type="spellStart"/>
      <w:r w:rsidRPr="007E40FA">
        <w:rPr>
          <w:rFonts w:ascii="Times New Roman" w:hAnsi="Times New Roman"/>
          <w:sz w:val="24"/>
          <w:szCs w:val="24"/>
        </w:rPr>
        <w:t>benchtop</w:t>
      </w:r>
      <w:proofErr w:type="spellEnd"/>
      <w:r w:rsidRPr="007E40FA">
        <w:rPr>
          <w:rFonts w:ascii="Times New Roman" w:hAnsi="Times New Roman"/>
          <w:sz w:val="24"/>
          <w:szCs w:val="24"/>
        </w:rPr>
        <w:t xml:space="preserve"> approach utilized in CTC research has allowed for quick entry of this useful assay into the clinical setting</w:t>
      </w:r>
      <w:r w:rsidR="003F3597" w:rsidRPr="007E40FA">
        <w:rPr>
          <w:rFonts w:ascii="Times New Roman" w:hAnsi="Times New Roman"/>
          <w:sz w:val="24"/>
          <w:szCs w:val="24"/>
        </w:rPr>
        <w:t>.</w:t>
      </w:r>
      <w:r w:rsidRPr="007E40FA">
        <w:rPr>
          <w:rFonts w:ascii="Times New Roman" w:hAnsi="Times New Roman"/>
          <w:sz w:val="24"/>
          <w:szCs w:val="24"/>
        </w:rPr>
        <w:t xml:space="preserve"> </w:t>
      </w:r>
      <w:r w:rsidR="003F3597" w:rsidRPr="007E40FA">
        <w:rPr>
          <w:rFonts w:ascii="Times New Roman" w:hAnsi="Times New Roman"/>
          <w:sz w:val="24"/>
          <w:szCs w:val="24"/>
        </w:rPr>
        <w:t>H</w:t>
      </w:r>
      <w:r w:rsidRPr="007E40FA">
        <w:rPr>
          <w:rFonts w:ascii="Times New Roman" w:hAnsi="Times New Roman"/>
          <w:sz w:val="24"/>
          <w:szCs w:val="24"/>
        </w:rPr>
        <w:t xml:space="preserve">owever, it has </w:t>
      </w:r>
      <w:r w:rsidR="005E5B56" w:rsidRPr="007E40FA">
        <w:rPr>
          <w:rFonts w:ascii="Times New Roman" w:hAnsi="Times New Roman"/>
          <w:sz w:val="24"/>
          <w:szCs w:val="24"/>
        </w:rPr>
        <w:t>resulted</w:t>
      </w:r>
      <w:r w:rsidR="00E825C4" w:rsidRPr="007E40FA">
        <w:rPr>
          <w:rFonts w:ascii="Times New Roman" w:hAnsi="Times New Roman"/>
          <w:sz w:val="24"/>
          <w:szCs w:val="24"/>
        </w:rPr>
        <w:t xml:space="preserve"> </w:t>
      </w:r>
      <w:r w:rsidR="005E5B56" w:rsidRPr="007E40FA">
        <w:rPr>
          <w:rFonts w:ascii="Times New Roman" w:hAnsi="Times New Roman"/>
          <w:sz w:val="24"/>
          <w:szCs w:val="24"/>
        </w:rPr>
        <w:t>in</w:t>
      </w:r>
      <w:r w:rsidR="00E825C4" w:rsidRPr="007E40FA">
        <w:rPr>
          <w:rFonts w:ascii="Times New Roman" w:hAnsi="Times New Roman"/>
          <w:sz w:val="24"/>
          <w:szCs w:val="24"/>
        </w:rPr>
        <w:t xml:space="preserve"> an inadequa</w:t>
      </w:r>
      <w:r w:rsidR="00EB225B" w:rsidRPr="007E40FA">
        <w:rPr>
          <w:rFonts w:ascii="Times New Roman" w:hAnsi="Times New Roman"/>
          <w:sz w:val="24"/>
          <w:szCs w:val="24"/>
        </w:rPr>
        <w:t>te</w:t>
      </w:r>
      <w:r w:rsidR="00E825C4" w:rsidRPr="007E40FA">
        <w:rPr>
          <w:rFonts w:ascii="Times New Roman" w:hAnsi="Times New Roman"/>
          <w:sz w:val="24"/>
          <w:szCs w:val="24"/>
        </w:rPr>
        <w:t xml:space="preserve"> </w:t>
      </w:r>
      <w:r w:rsidRPr="007E40FA">
        <w:rPr>
          <w:rFonts w:ascii="Times New Roman" w:hAnsi="Times New Roman"/>
          <w:sz w:val="24"/>
          <w:szCs w:val="24"/>
        </w:rPr>
        <w:t xml:space="preserve">understanding of the basic biology of these rare cells. Therefore </w:t>
      </w:r>
      <w:r w:rsidR="00E825C4" w:rsidRPr="007E40FA">
        <w:rPr>
          <w:rFonts w:ascii="Times New Roman" w:hAnsi="Times New Roman"/>
          <w:sz w:val="24"/>
          <w:szCs w:val="24"/>
        </w:rPr>
        <w:t xml:space="preserve">the development and optimization of assays that allow for assessment of CTCs in </w:t>
      </w:r>
      <w:r w:rsidR="005E5B56" w:rsidRPr="007E40FA">
        <w:rPr>
          <w:rFonts w:ascii="Times New Roman" w:hAnsi="Times New Roman"/>
          <w:sz w:val="24"/>
          <w:szCs w:val="24"/>
        </w:rPr>
        <w:t xml:space="preserve">pre-clinical </w:t>
      </w:r>
      <w:r w:rsidR="00E825C4" w:rsidRPr="007E40FA">
        <w:rPr>
          <w:rFonts w:ascii="Times New Roman" w:hAnsi="Times New Roman"/>
          <w:i/>
          <w:sz w:val="24"/>
          <w:szCs w:val="24"/>
        </w:rPr>
        <w:t>in vivo</w:t>
      </w:r>
      <w:r w:rsidR="00E825C4" w:rsidRPr="007E40FA">
        <w:rPr>
          <w:rFonts w:ascii="Times New Roman" w:hAnsi="Times New Roman"/>
          <w:sz w:val="24"/>
          <w:szCs w:val="24"/>
        </w:rPr>
        <w:t xml:space="preserve"> mouse models of cancer are needed. </w:t>
      </w:r>
      <w:r w:rsidR="005E5B56" w:rsidRPr="007E40FA">
        <w:rPr>
          <w:rFonts w:ascii="Times New Roman" w:hAnsi="Times New Roman"/>
          <w:sz w:val="24"/>
          <w:szCs w:val="24"/>
        </w:rPr>
        <w:t>This manuscript describes</w:t>
      </w:r>
      <w:r w:rsidR="00E825C4" w:rsidRPr="007E40FA">
        <w:rPr>
          <w:rFonts w:ascii="Times New Roman" w:hAnsi="Times New Roman"/>
          <w:sz w:val="24"/>
          <w:szCs w:val="24"/>
        </w:rPr>
        <w:t xml:space="preserve"> an adapted </w:t>
      </w:r>
      <w:r w:rsidR="004C0272" w:rsidRPr="007E40FA">
        <w:rPr>
          <w:rFonts w:ascii="Times New Roman" w:hAnsi="Times New Roman"/>
          <w:sz w:val="24"/>
          <w:szCs w:val="24"/>
        </w:rPr>
        <w:t>CSS</w:t>
      </w:r>
      <w:r w:rsidR="00E825C4" w:rsidRPr="007E40FA">
        <w:rPr>
          <w:rFonts w:ascii="Times New Roman" w:hAnsi="Times New Roman"/>
          <w:sz w:val="24"/>
          <w:szCs w:val="24"/>
        </w:rPr>
        <w:t xml:space="preserve"> protocol that allows for CTCs to be assessed in 50µl volumes of mouse blood, ideally suited for serial CTC collection </w:t>
      </w:r>
      <w:r w:rsidR="00E54D85" w:rsidRPr="007E40FA">
        <w:rPr>
          <w:rFonts w:ascii="Times New Roman" w:hAnsi="Times New Roman"/>
          <w:sz w:val="24"/>
          <w:szCs w:val="24"/>
        </w:rPr>
        <w:t>e</w:t>
      </w:r>
      <w:r w:rsidR="00E825C4" w:rsidRPr="007E40FA">
        <w:rPr>
          <w:rFonts w:ascii="Times New Roman" w:hAnsi="Times New Roman"/>
          <w:sz w:val="24"/>
          <w:szCs w:val="24"/>
        </w:rPr>
        <w:t xml:space="preserve">xperimentation. </w:t>
      </w:r>
      <w:r w:rsidR="00EB225B" w:rsidRPr="007E40FA">
        <w:rPr>
          <w:rFonts w:ascii="Times New Roman" w:hAnsi="Times New Roman"/>
          <w:sz w:val="24"/>
          <w:szCs w:val="24"/>
        </w:rPr>
        <w:t xml:space="preserve">This manuscript </w:t>
      </w:r>
      <w:r w:rsidR="00E825C4" w:rsidRPr="007E40FA">
        <w:rPr>
          <w:rFonts w:ascii="Times New Roman" w:hAnsi="Times New Roman"/>
          <w:sz w:val="24"/>
          <w:szCs w:val="24"/>
        </w:rPr>
        <w:t>demonstrat</w:t>
      </w:r>
      <w:r w:rsidR="00EB225B" w:rsidRPr="007E40FA">
        <w:rPr>
          <w:rFonts w:ascii="Times New Roman" w:hAnsi="Times New Roman"/>
          <w:sz w:val="24"/>
          <w:szCs w:val="24"/>
        </w:rPr>
        <w:t>es</w:t>
      </w:r>
      <w:r w:rsidR="00E825C4" w:rsidRPr="007E40FA">
        <w:rPr>
          <w:rFonts w:ascii="Times New Roman" w:hAnsi="Times New Roman"/>
          <w:sz w:val="24"/>
          <w:szCs w:val="24"/>
        </w:rPr>
        <w:t xml:space="preserve"> that CTC enumeration using </w:t>
      </w:r>
      <w:r w:rsidR="005E5B56" w:rsidRPr="007E40FA">
        <w:rPr>
          <w:rFonts w:ascii="Times New Roman" w:hAnsi="Times New Roman"/>
          <w:sz w:val="24"/>
          <w:szCs w:val="24"/>
        </w:rPr>
        <w:t xml:space="preserve">this protocol is </w:t>
      </w:r>
      <w:r w:rsidR="00E825C4" w:rsidRPr="007E40FA">
        <w:rPr>
          <w:rFonts w:ascii="Times New Roman" w:hAnsi="Times New Roman"/>
          <w:sz w:val="24"/>
          <w:szCs w:val="24"/>
        </w:rPr>
        <w:t xml:space="preserve"> </w:t>
      </w:r>
      <w:r w:rsidR="00E825C4" w:rsidRPr="007E40FA">
        <w:rPr>
          <w:rFonts w:ascii="Times New Roman" w:hAnsi="Times New Roman"/>
          <w:sz w:val="24"/>
          <w:szCs w:val="24"/>
        </w:rPr>
        <w:lastRenderedPageBreak/>
        <w:t xml:space="preserve">comparable to results obtained using the </w:t>
      </w:r>
      <w:r w:rsidR="00EB225B" w:rsidRPr="007E40FA">
        <w:rPr>
          <w:rFonts w:ascii="Times New Roman" w:hAnsi="Times New Roman"/>
          <w:sz w:val="24"/>
          <w:szCs w:val="24"/>
        </w:rPr>
        <w:t>CSS in combination with the traditional CTC</w:t>
      </w:r>
      <w:r w:rsidR="00E825C4" w:rsidRPr="007E40FA">
        <w:rPr>
          <w:rFonts w:ascii="Times New Roman" w:hAnsi="Times New Roman"/>
          <w:sz w:val="24"/>
          <w:szCs w:val="24"/>
        </w:rPr>
        <w:t xml:space="preserve"> kit, with no significant differences in CTC capture efficiency between the automa</w:t>
      </w:r>
      <w:r w:rsidR="005E5B56" w:rsidRPr="007E40FA">
        <w:rPr>
          <w:rFonts w:ascii="Times New Roman" w:hAnsi="Times New Roman"/>
          <w:sz w:val="24"/>
          <w:szCs w:val="24"/>
        </w:rPr>
        <w:t>ted and manual separation technique</w:t>
      </w:r>
      <w:r w:rsidR="00E825C4" w:rsidRPr="007E40FA">
        <w:rPr>
          <w:rFonts w:ascii="Times New Roman" w:hAnsi="Times New Roman"/>
          <w:sz w:val="24"/>
          <w:szCs w:val="24"/>
        </w:rPr>
        <w:t xml:space="preserve">s. In addition, during </w:t>
      </w:r>
      <w:r w:rsidR="00EB225B" w:rsidRPr="007E40FA">
        <w:rPr>
          <w:rFonts w:ascii="Times New Roman" w:hAnsi="Times New Roman"/>
          <w:sz w:val="24"/>
          <w:szCs w:val="24"/>
        </w:rPr>
        <w:t xml:space="preserve">the </w:t>
      </w:r>
      <w:r w:rsidR="00E825C4" w:rsidRPr="007E40FA">
        <w:rPr>
          <w:rFonts w:ascii="Times New Roman" w:hAnsi="Times New Roman"/>
          <w:sz w:val="24"/>
          <w:szCs w:val="24"/>
        </w:rPr>
        <w:t xml:space="preserve">development of this assay </w:t>
      </w:r>
      <w:r w:rsidR="00EB225B" w:rsidRPr="007E40FA">
        <w:rPr>
          <w:rFonts w:ascii="Times New Roman" w:hAnsi="Times New Roman"/>
          <w:sz w:val="24"/>
          <w:szCs w:val="24"/>
        </w:rPr>
        <w:t xml:space="preserve">it was </w:t>
      </w:r>
      <w:r w:rsidR="00E825C4" w:rsidRPr="007E40FA">
        <w:rPr>
          <w:rFonts w:ascii="Times New Roman" w:hAnsi="Times New Roman"/>
          <w:sz w:val="24"/>
          <w:szCs w:val="24"/>
        </w:rPr>
        <w:t>recognize</w:t>
      </w:r>
      <w:r w:rsidR="00EB225B" w:rsidRPr="007E40FA">
        <w:rPr>
          <w:rFonts w:ascii="Times New Roman" w:hAnsi="Times New Roman"/>
          <w:sz w:val="24"/>
          <w:szCs w:val="24"/>
        </w:rPr>
        <w:t>d</w:t>
      </w:r>
      <w:r w:rsidR="00E825C4" w:rsidRPr="007E40FA">
        <w:rPr>
          <w:rFonts w:ascii="Times New Roman" w:hAnsi="Times New Roman"/>
          <w:sz w:val="24"/>
          <w:szCs w:val="24"/>
        </w:rPr>
        <w:t>, as previously described in the literature</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"10.1158/0008-5472.CAN-08-0630", "ISSN" : "1538-7445", "PMID" : "18632603", "abstract" : "Circulating tumor cells (CTC) are emerging as a powerful prognostic and predictive biomarker in several types of cancer, including breast, colon, and prostate. Studies of CTC in metastasis and further development of CTC as a biomarker in cancer have been limited by the inability to repetitively monitor CTC in mouse models of cancer. We have validated a method to enumerate CTC in blood samples obtained from living mice using a modified version of an in vitro diagnostic system for quantifying CTC in patients. Different routes of blood collection were tested to identify a method to reproducibly recover CTC from tumor-bearing mice without interference from contaminating normal murine epithelial cells. CTC are present in blood samples from mice bearing orthotopic xenografts of several different breast cancer cell lines and primary breast cancer cells from patient biopsies. We also show that this technology can be used for serial monitoring of CTC in mouse xenograft models of human breast cancer. These results establish a new method for studying CTC in mouse models of epithelial cancer, providing the foundation for studies of molecular regulation of CTC in cancer and CTC as biomarker for therapeutic efficacy.", "author" : [ { "dropping-particle" : "", "family" : "Eliane", "given" : "Jean-Pierre", "non-dropping-particle" : "", "parse-names" : false, "suffix" : "" }, { "dropping-particle" : "", "family" : "Repollet", "given" : "Madeline", "non-dropping-particle" : "", "parse-names" : false, "suffix" : "" }, { "dropping-particle" : "", "family" : "Luker", "given" : "Kathryn E", "non-dropping-particle" : "", "parse-names" : false, "suffix" : "" }, { "dropping-particle" : "", "family" : "Brown", "given" : "Martha", "non-dropping-particle" : "", "parse-names" : false, "suffix" : "" }, { "dropping-particle" : "", "family" : "Rae", "given" : "James M", "non-dropping-particle" : "", "parse-names" : false, "suffix" : "" }, { "dropping-particle" : "", "family" : "Dontu", "given" : "Gabriela", "non-dropping-particle" : "", "parse-names" : false, "suffix" : "" }, { "dropping-particle" : "", "family" : "Schott", "given" : "Anne F", "non-dropping-particle" : "", "parse-names" : false, "suffix" : "" }, { "dropping-particle" : "", "family" : "Wicha", "given" : "Max", "non-dropping-particle" : "", "parse-names" : false, "suffix" : "" }, { "dropping-particle" : "V", "family" : "Doyle", "given" : "Gerald", "non-dropping-particle" : "", "parse-names" : false, "suffix" : "" }, { "dropping-particle" : "", "family" : "Hayes", "given" : "Daniel F", "non-dropping-particle" : "", "parse-names" : false, "suffix" : "" }, { "dropping-particle" : "", "family" : "Luker", "given" : "Gary D", "non-dropping-particle" : "", "parse-names" : false, "suffix" : "" } ], "container-title" : "Cancer research", "id" : "ITEM-1", "issue" : "14", "issued" : { "date-parts" : [ [ "2008", "7", "15" ] ] }, "page" : "5529-32", "title" : "Monitoring serial changes in circulating human breast cancer cells in murine xenograft models.", "type" : "article-journal", "volume" : "68" }, "uris" : [ "http://www.mendeley.com/documents/?uuid=15fedbed-25a3-4774-880f-49dcf911f9e3" ] } ], "mendeley" : { "previouslyFormattedCitation" : "&lt;sup&gt;25&lt;/sup&gt;"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25</w:t>
      </w:r>
      <w:r w:rsidR="0036708D" w:rsidRPr="007E40FA">
        <w:rPr>
          <w:rFonts w:ascii="Times New Roman" w:hAnsi="Times New Roman"/>
          <w:sz w:val="24"/>
          <w:szCs w:val="24"/>
        </w:rPr>
        <w:fldChar w:fldCharType="end"/>
      </w:r>
      <w:r w:rsidR="00E825C4" w:rsidRPr="007E40FA">
        <w:rPr>
          <w:rFonts w:ascii="Times New Roman" w:hAnsi="Times New Roman"/>
          <w:sz w:val="24"/>
          <w:szCs w:val="24"/>
        </w:rPr>
        <w:t xml:space="preserve">, that mouse </w:t>
      </w:r>
      <w:r w:rsidR="00803880" w:rsidRPr="007E40FA">
        <w:rPr>
          <w:rFonts w:ascii="Times New Roman" w:hAnsi="Times New Roman"/>
          <w:sz w:val="24"/>
          <w:szCs w:val="24"/>
        </w:rPr>
        <w:t xml:space="preserve">squamous </w:t>
      </w:r>
      <w:r w:rsidR="00E825C4" w:rsidRPr="007E40FA">
        <w:rPr>
          <w:rFonts w:ascii="Times New Roman" w:hAnsi="Times New Roman"/>
          <w:sz w:val="24"/>
          <w:szCs w:val="24"/>
        </w:rPr>
        <w:t>epithelial cell contamination can make accurate identification of CTCs more difficult and sometimes impossible. Therefore to combat this issue a user-defined HLA-A</w:t>
      </w:r>
      <w:r w:rsidR="003F3597" w:rsidRPr="007E40FA">
        <w:rPr>
          <w:rFonts w:ascii="Times New Roman" w:hAnsi="Times New Roman"/>
          <w:sz w:val="24"/>
          <w:szCs w:val="24"/>
        </w:rPr>
        <w:t>lexa</w:t>
      </w:r>
      <w:r w:rsidR="00E825C4" w:rsidRPr="007E40FA">
        <w:rPr>
          <w:rFonts w:ascii="Times New Roman" w:hAnsi="Times New Roman"/>
          <w:sz w:val="24"/>
          <w:szCs w:val="24"/>
        </w:rPr>
        <w:t>F</w:t>
      </w:r>
      <w:r w:rsidR="003F3597" w:rsidRPr="007E40FA">
        <w:rPr>
          <w:rFonts w:ascii="Times New Roman" w:hAnsi="Times New Roman"/>
          <w:sz w:val="24"/>
          <w:szCs w:val="24"/>
        </w:rPr>
        <w:t>luor</w:t>
      </w:r>
      <w:r w:rsidR="00E825C4" w:rsidRPr="007E40FA">
        <w:rPr>
          <w:rFonts w:ascii="Times New Roman" w:hAnsi="Times New Roman"/>
          <w:sz w:val="24"/>
          <w:szCs w:val="24"/>
        </w:rPr>
        <w:t xml:space="preserve">488 </w:t>
      </w:r>
      <w:r w:rsidR="00EB225B" w:rsidRPr="007E40FA">
        <w:rPr>
          <w:rFonts w:ascii="Times New Roman" w:hAnsi="Times New Roman"/>
          <w:sz w:val="24"/>
          <w:szCs w:val="24"/>
        </w:rPr>
        <w:t xml:space="preserve">was added to this </w:t>
      </w:r>
      <w:r w:rsidR="0077734C" w:rsidRPr="007E40FA">
        <w:rPr>
          <w:rFonts w:ascii="Times New Roman" w:hAnsi="Times New Roman"/>
          <w:sz w:val="24"/>
          <w:szCs w:val="24"/>
        </w:rPr>
        <w:t xml:space="preserve">protocol to ensure that </w:t>
      </w:r>
      <w:r w:rsidR="00E54D85" w:rsidRPr="007E40FA">
        <w:rPr>
          <w:rFonts w:ascii="Times New Roman" w:hAnsi="Times New Roman"/>
          <w:sz w:val="24"/>
          <w:szCs w:val="24"/>
        </w:rPr>
        <w:t>only human cells (CK+DAPI+CD45-HLA-A</w:t>
      </w:r>
      <w:r w:rsidR="003F3597" w:rsidRPr="007E40FA">
        <w:rPr>
          <w:rFonts w:ascii="Times New Roman" w:hAnsi="Times New Roman"/>
          <w:sz w:val="24"/>
          <w:szCs w:val="24"/>
        </w:rPr>
        <w:t>lexaFluor</w:t>
      </w:r>
      <w:r w:rsidR="00E54D85" w:rsidRPr="007E40FA">
        <w:rPr>
          <w:rFonts w:ascii="Times New Roman" w:hAnsi="Times New Roman"/>
          <w:sz w:val="24"/>
          <w:szCs w:val="24"/>
        </w:rPr>
        <w:t xml:space="preserve">488+) are being appropriately assigned as CTCs. </w:t>
      </w:r>
      <w:r w:rsidR="000A2CF0" w:rsidRPr="007E40FA">
        <w:rPr>
          <w:rFonts w:ascii="Times New Roman" w:hAnsi="Times New Roman"/>
          <w:sz w:val="24"/>
          <w:szCs w:val="24"/>
        </w:rPr>
        <w:t xml:space="preserve">It is important to note that the </w:t>
      </w:r>
      <w:proofErr w:type="spellStart"/>
      <w:r w:rsidR="000A2CF0" w:rsidRPr="007E40FA">
        <w:rPr>
          <w:rFonts w:ascii="Times New Roman" w:hAnsi="Times New Roman"/>
          <w:sz w:val="24"/>
          <w:szCs w:val="24"/>
        </w:rPr>
        <w:t>LNCaP</w:t>
      </w:r>
      <w:proofErr w:type="spellEnd"/>
      <w:r w:rsidR="000A2CF0" w:rsidRPr="007E40FA">
        <w:rPr>
          <w:rFonts w:ascii="Times New Roman" w:hAnsi="Times New Roman"/>
          <w:sz w:val="24"/>
          <w:szCs w:val="24"/>
        </w:rPr>
        <w:t xml:space="preserve"> cell line used in this manuscript is </w:t>
      </w:r>
      <w:proofErr w:type="spellStart"/>
      <w:r w:rsidR="000A2CF0" w:rsidRPr="007E40FA">
        <w:rPr>
          <w:rFonts w:ascii="Times New Roman" w:hAnsi="Times New Roman"/>
          <w:sz w:val="24"/>
          <w:szCs w:val="24"/>
        </w:rPr>
        <w:t>HLA</w:t>
      </w:r>
      <w:r w:rsidR="000A2CF0" w:rsidRPr="007E40FA">
        <w:rPr>
          <w:rFonts w:ascii="Times New Roman" w:hAnsi="Times New Roman"/>
          <w:sz w:val="24"/>
          <w:szCs w:val="24"/>
          <w:vertAlign w:val="superscript"/>
        </w:rPr>
        <w:t>low</w:t>
      </w:r>
      <w:proofErr w:type="spellEnd"/>
      <w:r w:rsidR="000A2CF0" w:rsidRPr="007E40FA">
        <w:rPr>
          <w:rFonts w:ascii="Times New Roman" w:hAnsi="Times New Roman"/>
          <w:sz w:val="24"/>
          <w:szCs w:val="24"/>
        </w:rPr>
        <w:t xml:space="preserve"> and therefore HLA-AlexaFluor488 may need to be titrated for cell lines with varying HLA expression. </w:t>
      </w:r>
      <w:r w:rsidR="0097171E" w:rsidRPr="007E40FA">
        <w:rPr>
          <w:rFonts w:ascii="Times New Roman" w:hAnsi="Times New Roman"/>
          <w:sz w:val="24"/>
          <w:szCs w:val="24"/>
        </w:rPr>
        <w:t>Although we have added an HLA-</w:t>
      </w:r>
      <w:proofErr w:type="spellStart"/>
      <w:r w:rsidR="0097171E" w:rsidRPr="007E40FA">
        <w:rPr>
          <w:rFonts w:ascii="Times New Roman" w:hAnsi="Times New Roman"/>
          <w:sz w:val="24"/>
          <w:szCs w:val="24"/>
        </w:rPr>
        <w:t>AlexaFluor</w:t>
      </w:r>
      <w:proofErr w:type="spellEnd"/>
      <w:r w:rsidR="0097171E" w:rsidRPr="007E40FA">
        <w:rPr>
          <w:rFonts w:ascii="Times New Roman" w:hAnsi="Times New Roman"/>
          <w:sz w:val="24"/>
          <w:szCs w:val="24"/>
        </w:rPr>
        <w:t xml:space="preserve"> 488 to our protocol to ensure accurate identification of CTCs</w:t>
      </w:r>
      <w:r w:rsidR="00EF5077" w:rsidRPr="007E40FA">
        <w:rPr>
          <w:rFonts w:ascii="Times New Roman" w:hAnsi="Times New Roman"/>
          <w:sz w:val="24"/>
          <w:szCs w:val="24"/>
        </w:rPr>
        <w:t>,</w:t>
      </w:r>
      <w:r w:rsidR="0097171E" w:rsidRPr="007E40FA">
        <w:rPr>
          <w:rFonts w:ascii="Times New Roman" w:hAnsi="Times New Roman"/>
          <w:sz w:val="24"/>
          <w:szCs w:val="24"/>
        </w:rPr>
        <w:t xml:space="preserve"> it is noteworthy that the vast majority of mouse squamous </w:t>
      </w:r>
      <w:r w:rsidR="00803880" w:rsidRPr="007E40FA">
        <w:rPr>
          <w:rFonts w:ascii="Times New Roman" w:hAnsi="Times New Roman"/>
          <w:sz w:val="24"/>
          <w:szCs w:val="24"/>
        </w:rPr>
        <w:t xml:space="preserve">epithelial </w:t>
      </w:r>
      <w:r w:rsidR="0097171E" w:rsidRPr="007E40FA">
        <w:rPr>
          <w:rFonts w:ascii="Times New Roman" w:hAnsi="Times New Roman"/>
          <w:sz w:val="24"/>
          <w:szCs w:val="24"/>
        </w:rPr>
        <w:t>cells were easily identifiable by morphology and were limited in cell number</w:t>
      </w:r>
      <w:r w:rsidR="00B8186E" w:rsidRPr="007E40FA">
        <w:rPr>
          <w:rFonts w:ascii="Times New Roman" w:hAnsi="Times New Roman"/>
          <w:sz w:val="24"/>
          <w:szCs w:val="24"/>
        </w:rPr>
        <w:t xml:space="preserve"> </w:t>
      </w:r>
      <w:r w:rsidR="0036708D" w:rsidRPr="007E40FA">
        <w:rPr>
          <w:rFonts w:ascii="Times New Roman" w:hAnsi="Times New Roman"/>
          <w:sz w:val="24"/>
          <w:szCs w:val="24"/>
        </w:rPr>
        <w:t>(0.33±0.24 events/50µl; n=9)</w:t>
      </w:r>
      <w:r w:rsidR="0097171E" w:rsidRPr="007E40FA">
        <w:rPr>
          <w:rFonts w:ascii="Times New Roman" w:hAnsi="Times New Roman"/>
          <w:sz w:val="24"/>
          <w:szCs w:val="24"/>
        </w:rPr>
        <w:t>. Higher cell number</w:t>
      </w:r>
      <w:r w:rsidR="000A2CF0" w:rsidRPr="007E40FA">
        <w:rPr>
          <w:rFonts w:ascii="Times New Roman" w:hAnsi="Times New Roman"/>
          <w:sz w:val="24"/>
          <w:szCs w:val="24"/>
        </w:rPr>
        <w:t>s</w:t>
      </w:r>
      <w:r w:rsidR="0097171E" w:rsidRPr="007E40FA">
        <w:rPr>
          <w:rFonts w:ascii="Times New Roman" w:hAnsi="Times New Roman"/>
          <w:sz w:val="24"/>
          <w:szCs w:val="24"/>
        </w:rPr>
        <w:t xml:space="preserve"> </w:t>
      </w:r>
      <w:proofErr w:type="gramStart"/>
      <w:r w:rsidR="00B8186E" w:rsidRPr="007E40FA">
        <w:rPr>
          <w:rFonts w:ascii="Times New Roman" w:hAnsi="Times New Roman"/>
          <w:sz w:val="24"/>
          <w:szCs w:val="24"/>
        </w:rPr>
        <w:t>(up to 11 events/50µl)</w:t>
      </w:r>
      <w:proofErr w:type="gramEnd"/>
      <w:r w:rsidR="00B8186E" w:rsidRPr="007E40FA">
        <w:rPr>
          <w:rFonts w:ascii="Times New Roman" w:hAnsi="Times New Roman"/>
          <w:sz w:val="24"/>
          <w:szCs w:val="24"/>
        </w:rPr>
        <w:t xml:space="preserve"> </w:t>
      </w:r>
      <w:r w:rsidR="0097171E" w:rsidRPr="007E40FA">
        <w:rPr>
          <w:rFonts w:ascii="Times New Roman" w:hAnsi="Times New Roman"/>
          <w:sz w:val="24"/>
          <w:szCs w:val="24"/>
        </w:rPr>
        <w:t>were only observed when blood collection</w:t>
      </w:r>
      <w:r w:rsidR="00EF5077" w:rsidRPr="007E40FA">
        <w:rPr>
          <w:rFonts w:ascii="Times New Roman" w:hAnsi="Times New Roman"/>
          <w:sz w:val="24"/>
          <w:szCs w:val="24"/>
        </w:rPr>
        <w:t xml:space="preserve"> (</w:t>
      </w:r>
      <w:r w:rsidR="0097171E" w:rsidRPr="007E40FA">
        <w:rPr>
          <w:rFonts w:ascii="Times New Roman" w:hAnsi="Times New Roman"/>
          <w:sz w:val="24"/>
          <w:szCs w:val="24"/>
        </w:rPr>
        <w:t>via cardiac puncture</w:t>
      </w:r>
      <w:r w:rsidR="00EF5077" w:rsidRPr="007E40FA">
        <w:rPr>
          <w:rFonts w:ascii="Times New Roman" w:hAnsi="Times New Roman"/>
          <w:sz w:val="24"/>
          <w:szCs w:val="24"/>
        </w:rPr>
        <w:t>)</w:t>
      </w:r>
      <w:r w:rsidR="0097171E" w:rsidRPr="007E40FA">
        <w:rPr>
          <w:rFonts w:ascii="Times New Roman" w:hAnsi="Times New Roman"/>
          <w:sz w:val="24"/>
          <w:szCs w:val="24"/>
        </w:rPr>
        <w:t xml:space="preserve"> </w:t>
      </w:r>
      <w:r w:rsidR="000A2CF0" w:rsidRPr="007E40FA">
        <w:rPr>
          <w:rFonts w:ascii="Times New Roman" w:hAnsi="Times New Roman"/>
          <w:sz w:val="24"/>
          <w:szCs w:val="24"/>
        </w:rPr>
        <w:t xml:space="preserve">proved difficult and repeated attempts were necessary. </w:t>
      </w:r>
      <w:r w:rsidR="0097171E" w:rsidRPr="007E40FA">
        <w:rPr>
          <w:rFonts w:ascii="Times New Roman" w:hAnsi="Times New Roman"/>
          <w:sz w:val="24"/>
          <w:szCs w:val="24"/>
        </w:rPr>
        <w:t xml:space="preserve">Therefore we propose that if desired, on-system characterization </w:t>
      </w:r>
      <w:r w:rsidR="000A2CF0" w:rsidRPr="007E40FA">
        <w:rPr>
          <w:rFonts w:ascii="Times New Roman" w:hAnsi="Times New Roman"/>
          <w:sz w:val="24"/>
          <w:szCs w:val="24"/>
        </w:rPr>
        <w:t xml:space="preserve">of CTCs </w:t>
      </w:r>
      <w:r w:rsidR="0097171E" w:rsidRPr="007E40FA">
        <w:rPr>
          <w:rFonts w:ascii="Times New Roman" w:hAnsi="Times New Roman"/>
          <w:sz w:val="24"/>
          <w:szCs w:val="24"/>
        </w:rPr>
        <w:t>could be accomplished by omitting this marker.</w:t>
      </w:r>
      <w:r w:rsidR="000A2CF0" w:rsidRPr="007E40FA">
        <w:rPr>
          <w:rFonts w:ascii="Times New Roman" w:hAnsi="Times New Roman"/>
          <w:sz w:val="24"/>
          <w:szCs w:val="24"/>
        </w:rPr>
        <w:t xml:space="preserve"> In addition, although not described here, we anticipate that </w:t>
      </w:r>
      <w:r w:rsidR="00EF5077" w:rsidRPr="007E40FA">
        <w:rPr>
          <w:rFonts w:ascii="Times New Roman" w:hAnsi="Times New Roman"/>
          <w:sz w:val="24"/>
          <w:szCs w:val="24"/>
        </w:rPr>
        <w:t xml:space="preserve">collection of and further </w:t>
      </w:r>
      <w:r w:rsidR="000A2CF0" w:rsidRPr="007E40FA">
        <w:rPr>
          <w:rFonts w:ascii="Times New Roman" w:hAnsi="Times New Roman"/>
          <w:sz w:val="24"/>
          <w:szCs w:val="24"/>
        </w:rPr>
        <w:t>downstream characterization</w:t>
      </w:r>
      <w:r w:rsidR="00B8186E" w:rsidRPr="007E40FA">
        <w:rPr>
          <w:rFonts w:ascii="Times New Roman" w:hAnsi="Times New Roman"/>
          <w:sz w:val="24"/>
          <w:szCs w:val="24"/>
        </w:rPr>
        <w:t xml:space="preserve"> of CTCs</w:t>
      </w:r>
      <w:r w:rsidR="000A2CF0" w:rsidRPr="007E40FA">
        <w:rPr>
          <w:rFonts w:ascii="Times New Roman" w:hAnsi="Times New Roman"/>
          <w:sz w:val="24"/>
          <w:szCs w:val="24"/>
        </w:rPr>
        <w:t xml:space="preserve"> </w:t>
      </w:r>
      <w:r w:rsidR="00EF5077" w:rsidRPr="007E40FA">
        <w:rPr>
          <w:rFonts w:ascii="Times New Roman" w:hAnsi="Times New Roman"/>
          <w:sz w:val="24"/>
          <w:szCs w:val="24"/>
        </w:rPr>
        <w:t xml:space="preserve">using other methods </w:t>
      </w:r>
      <w:r w:rsidR="000A2CF0" w:rsidRPr="007E40FA">
        <w:rPr>
          <w:rFonts w:ascii="Times New Roman" w:hAnsi="Times New Roman"/>
          <w:sz w:val="24"/>
          <w:szCs w:val="24"/>
        </w:rPr>
        <w:t>could be easily achieved as demonstrated previously</w:t>
      </w:r>
      <w:r w:rsidR="00B8186E" w:rsidRPr="007E40FA">
        <w:rPr>
          <w:rFonts w:ascii="Times New Roman" w:hAnsi="Times New Roman"/>
          <w:sz w:val="24"/>
          <w:szCs w:val="24"/>
        </w:rPr>
        <w:t xml:space="preserve"> using the CSS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"1532-1827", "PMID" : "20461092", "abstract" : "BACKGROUND: Circulating tumour cells (CTCs) offer a non-invasive approach to obtain and characterise metastatic tumour cells, but their usefulness has been limited by low CTC yields from conventional isolation methods. METHODS: To improve CTC yields and facilitate their molecular characterisation we compared the Food and Drug Administration-approved CellSearch Epithelial Kit (CEK) to a simplified CTC capture method, CellSearch Profile Kit (CPK), on paired blood samples from patients with metastatic breast (n=75) and lung (n=71) cancer. Molecular markers including Human Epidermal growth factor Receptor 2 (HER2) were evaluated on CTCs by fluorescence in situ hybridisation (FISH) and compared to patients' primary and metastatic cancer. RESULTS: The median cell count from patients with breast cancer using the CPK was 117 vs 4 for CEK (P&lt;0.0001). Lung cancer samples were similar; CPK: 145 cells vs CEK:4 cells (P&lt;0.0001). Recovered CTCs were relatively pure (60-70%) and were evaluable by FISH and immunofluorescence. A total of 10 of 30 (33%) breast cancer patients with HER2-negative primary and metastatic tissue had HER2-amplified CTCs. CONCLUSION: The CPK method provides a high yield of relatively pure CTCs, facilitating their molecular characterisation. Circulating tumour cells obtained using CPK technology demonstrate that significant discordance exists between HER2 amplification of a patient's CTCs and that of the primary and metastatic tumour.", "author" : [ { "dropping-particle" : "", "family" : "Flores", "given" : "L M", "non-dropping-particle" : "", "parse-names" : false, "suffix" : "" }, { "dropping-particle" : "", "family" : "Kindelberger", "given" : "D W", "non-dropping-particle" : "", "parse-names" : false, "suffix" : "" }, { "dropping-particle" : "", "family" : "Ligon", "given" : "a H", "non-dropping-particle" : "", "parse-names" : false, "suffix" : "" }, { "dropping-particle" : "", "family" : "Capelletti", "given" : "M", "non-dropping-particle" : "", "parse-names" : false, "suffix" : "" }, { "dropping-particle" : "", "family" : "Fiorentino", "given" : "M", "non-dropping-particle" : "", "parse-names" : false, "suffix" : "" }, { "dropping-particle" : "", "family" : "Loda", "given" : "M", "non-dropping-particle" : "", "parse-names" : false, "suffix" : "" }, { "dropping-particle" : "", "family" : "Cibas", "given" : "E S", "non-dropping-particle" : "", "parse-names" : false, "suffix" : "" }, { "dropping-particle" : "", "family" : "J\u00e4nne", "given" : "P a", "non-dropping-particle" : "", "parse-names" : false, "suffix" : "" }, { "dropping-particle" : "", "family" : "Krop", "given" : "I E", "non-dropping-particle" : "", "parse-names" : false, "suffix" : "" } ], "container-title" : "British journal of cancer", "id" : "ITEM-1", "issue" : "10", "issued" : { "date-parts" : [ [ "2010", "5" ] ] }, "page" : "1495-502", "title" : "Improving the yield of circulating tumour cells facilitates molecular characterisation and recognition of discordant HER2 amplification in breast cancer.", "type" : "article-journal", "volume" : "102" }, "uris" : [ "http://www.mendeley.com/documents/?uuid=f54da162-ee00-4694-a49d-ea3e75e00ce5" ] }, { "id" : "ITEM-2", "itemData" : { "DOI" : "10.1007/s10549-008-0290-0", "ISSN" : "1573-7217", "PMID" : "19115104", "abstract" : "Detection of circulating tumor cells (CTCs) in whole blood from metastatic cancer patients by the CellSearch CTC Test (Veridex LLC, Warren, NJ, USA) has been shown to have clinical relevance. In addition to enumeration, there is great interest in molecular characterization of these CTCs. We aimed to establish a robust method to perform mRNA expression analysis of multiple genes by a real-time reverse transcriptase (RT)-PCR on small numbers of CTCs enriched from whole blood by the CellSearch system. Despite the 4 log depletion of leukocytes after CellSearch enrichment, the CTC-enriched fractions still contained leukocytes, in particular B-lymphocytes, which severely interfered with our CTC-specific gene expression profiling. After extensive washing and leukocyte-specific depletion by anti-CD45 coated magnetic beads prior to CellSearch enrichment, the number of leukocytes present in the enriched fraction was still high (range 60-929). However, by using a set of genes with no or minor expression by leukocytes, we succeeded to perform quantitative gene expression profiling specific for as little as one breast cancer CTC present in a CTC-enriched environment typically containing over 800 contaminating leukocytes. Our method allows molecular characterization specific for as little as one CTC, and can be used to expand the understanding of the biology of metastasis and, potentially, to improve patient management.", "author" : [ { "dropping-particle" : "", "family" : "Sieuwerts", "given" : "Anieta M", "non-dropping-particle" : "", "parse-names" : false, "suffix" : "" }, { "dropping-particle" : "", "family" : "Kraan", "given" : "Jaco", "non-dropping-particle" : "", "parse-names" : false, "suffix" : "" }, { "dropping-particle" : "", "family" : "Bolt-de Vries", "given" : "Joan", "non-dropping-particle" : "", "parse-names" : false, "suffix" : "" }, { "dropping-particle" : "", "family" : "Spoel", "given" : "Petra", "non-dropping-particle" : "van der", "parse-names" : false, "suffix" : "" }, { "dropping-particle" : "", "family" : "Mostert", "given" : "Bianca", "non-dropping-particle" : "", "parse-names" : false, "suffix" : "" }, { "dropping-particle" : "", "family" : "Martens", "given" : "John W M", "non-dropping-particle" : "", "parse-names" : false, "suffix" : "" }, { "dropping-particle" : "", "family" : "Gratama", "given" : "Jan-Willem", "non-dropping-particle" : "", "parse-names" : false, "suffix" : "" }, { "dropping-particle" : "", "family" : "Sleijfer", "given" : "Stefan", "non-dropping-particle" : "", "parse-names" : false, "suffix" : "" }, { "dropping-particle" : "", "family" : "Foekens", "given" : "John a", "non-dropping-particle" : "", "parse-names" : false, "suffix" : "" } ], "container-title" : "Breast cancer research and treatment", "id" : "ITEM-2", "issue" : "3", "issued" : { "date-parts" : [ [ "2009", "12" ] ] }, "page" : "455-68", "title" : "Molecular characterization of circulating tumor cells in large quantities of contaminating leukocytes by a multiplex real-time PCR.", "type" : "article-journal", "volume" : "118" }, "uris" : [ "http://www.mendeley.com/documents/?uuid=cfc4f5f2-1183-4ef8-8c99-f30ce04f132e" ] } ], "mendeley" : { "previouslyFormattedCitation" : "&lt;sup&gt;27,28&lt;/sup&gt;"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27,28</w:t>
      </w:r>
      <w:r w:rsidR="0036708D" w:rsidRPr="007E40FA">
        <w:rPr>
          <w:rFonts w:ascii="Times New Roman" w:hAnsi="Times New Roman"/>
          <w:sz w:val="24"/>
          <w:szCs w:val="24"/>
        </w:rPr>
        <w:fldChar w:fldCharType="end"/>
      </w:r>
      <w:r w:rsidR="000A2CF0" w:rsidRPr="007E40FA">
        <w:rPr>
          <w:rFonts w:ascii="Times New Roman" w:hAnsi="Times New Roman"/>
          <w:sz w:val="24"/>
          <w:szCs w:val="24"/>
        </w:rPr>
        <w:t xml:space="preserve">. </w:t>
      </w:r>
    </w:p>
    <w:p w:rsidR="00E54D85" w:rsidRPr="007E40FA" w:rsidRDefault="00E06F00" w:rsidP="001F0875">
      <w:pPr>
        <w:spacing w:line="240" w:lineRule="auto"/>
        <w:jc w:val="both"/>
        <w:rPr>
          <w:rFonts w:ascii="Times New Roman" w:hAnsi="Times New Roman"/>
          <w:sz w:val="24"/>
          <w:szCs w:val="24"/>
        </w:rPr>
      </w:pPr>
      <w:r w:rsidRPr="007E40FA">
        <w:rPr>
          <w:rFonts w:ascii="Times New Roman" w:hAnsi="Times New Roman"/>
          <w:sz w:val="24"/>
          <w:szCs w:val="24"/>
        </w:rPr>
        <w:t>Although</w:t>
      </w:r>
      <w:r w:rsidR="00E54D85" w:rsidRPr="007E40FA">
        <w:rPr>
          <w:rFonts w:ascii="Times New Roman" w:hAnsi="Times New Roman"/>
          <w:sz w:val="24"/>
          <w:szCs w:val="24"/>
        </w:rPr>
        <w:t xml:space="preserve"> </w:t>
      </w:r>
      <w:r w:rsidRPr="007E40FA">
        <w:rPr>
          <w:rFonts w:ascii="Times New Roman" w:hAnsi="Times New Roman"/>
          <w:sz w:val="24"/>
          <w:szCs w:val="24"/>
        </w:rPr>
        <w:t xml:space="preserve">the </w:t>
      </w:r>
      <w:r w:rsidR="004C0272" w:rsidRPr="007E40FA">
        <w:rPr>
          <w:rFonts w:ascii="Times New Roman" w:hAnsi="Times New Roman"/>
          <w:sz w:val="24"/>
          <w:szCs w:val="24"/>
        </w:rPr>
        <w:t>CSS</w:t>
      </w:r>
      <w:r w:rsidRPr="007E40FA">
        <w:rPr>
          <w:rFonts w:ascii="Times New Roman" w:hAnsi="Times New Roman"/>
          <w:sz w:val="24"/>
          <w:szCs w:val="24"/>
        </w:rPr>
        <w:t xml:space="preserve"> </w:t>
      </w:r>
      <w:r w:rsidR="00E54D85" w:rsidRPr="007E40FA">
        <w:rPr>
          <w:rFonts w:ascii="Times New Roman" w:hAnsi="Times New Roman"/>
          <w:sz w:val="24"/>
          <w:szCs w:val="24"/>
        </w:rPr>
        <w:t>has been utilized clinically to effectively detect CTCs in the blood of metastatic breast, prostate and colorectal cancer patients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"1533-4406", "PMID" : "15317891", "abstract" : "BACKGROUND: We tested the hypothesis that the level of circulating tumor cells can predict survival in metastatic breast cancer. METHODS: In a prospective, multicenter study, we tested 177 patients with measurable metastatic breast cancer for levels of circulating tumor cells both before the patients were to start a new line of treatment and at the first follow-up visit. The progression of the disease or the response to treatment was determined with the use of standard imaging studies at the participating centers. RESULTS: Outcomes were assessed according to levels of circulating tumor cells at baseline, before the patients started a new treatment for metastatic disease. Patients in a training set with levels of circulating tumor cells equal to or higher than 5 per 7.5 ml of whole blood, as compared with the group with fewer than 5 circulating tumor cells per 7.5 ml, had a shorter median progression-free survival (2.7 months vs. 7.0 months, P&lt;0.001) and shorter overall survival (10.1 months vs. &gt;18 months, P&lt;0.001). At the first follow-up visit after the initiation of therapy, this difference between the groups persisted (progression-free survival, 2.1 months vs. 7.0 months; P&lt;0.001; overall survival, 8.2 months vs. &gt;18 months; P&lt;0.001), and the reduced proportion of patients (from 49 percent to 30 percent) in the group with an unfavorable prognosis suggested that there was a benefit from therapy. The multivariate Cox proportional-hazards regression showed that, of all the variables in the statistical model, the levels of circulating tumor cells at baseline and at the first follow-up visit were the most significant predictors of progression-free and overall survival. CONCLUSIONS: The number of circulating tumor cells before treatment is an independent predictor of progression-free survival and overall survival in patients with metastatic breast cancer.", "author" : [ { "dropping-particle" : "", "family" : "Cristofanilli", "given" : "Massimo", "non-dropping-particle" : "", "parse-names" : false, "suffix" : "" }, { "dropping-particle" : "", "family" : "Budd", "given" : "G Thomas", "non-dropping-particle" : "", "parse-names" : false, "suffix" : "" }, { "dropping-particle" : "", "family" : "Ellis", "given" : "Matthew J", "non-dropping-particle" : "", "parse-names" : false, "suffix" : "" }, { "dropping-particle" : "", "family" : "Stopeck", "given" : "Alison", "non-dropping-particle" : "", "parse-names" : false, "suffix" : "" }, { "dropping-particle" : "", "family" : "Matera", "given" : "Jeri", "non-dropping-particle" : "", "parse-names" : false, "suffix" : "" }, { "dropping-particle" : "", "family" : "Miller", "given" : "M Craig", "non-dropping-particle" : "", "parse-names" : false, "suffix" : "" }, { "dropping-particle" : "", "family" : "Reuben", "given" : "James M", "non-dropping-particle" : "", "parse-names" : false, "suffix" : "" }, { "dropping-particle" : "V", "family" : "Doyle", "given" : "Gerald", "non-dropping-particle" : "", "parse-names" : false, "suffix" : "" }, { "dropping-particle" : "", "family" : "Allard", "given" : "W Jeffrey", "non-dropping-particle" : "", "parse-names" : false, "suffix" : "" }, { "dropping-particle" : "", "family" : "Terstappen", "given" : "Leon W M M", "non-dropping-particle" : "", "parse-names" : false, "suffix" : "" }, { "dropping-particle" : "", "family" : "Hayes", "given" : "Daniel F", "non-dropping-particle" : "", "parse-names" : false, "suffix" : "" } ], "container-title" : "The New England journal of medicine", "id" : "ITEM-1", "issue" : "8", "issued" : { "date-parts" : [ [ "2004", "8" ] ] }, "page" : "781-91", "title" : "Circulating tumor cells, disease progression, and survival in metastatic breast cancer.", "type" : "article-journal", "volume" : "351" }, "uris" : [ "http://www.mendeley.com/documents/?uuid=f0f96870-40c2-4219-af60-a26756fec374" ] }, { "id" : "ITEM-2", "itemData" : { "ISSN" : "1078-0432", "PMID" : "18829513", "abstract" : "PURPOSE: A method for enumerating circulating tumor cells (CTC) has received regulatory clearance. The primary objective of this prospective study was to establish the relationship between posttreatment CTC count and overall survival (OS) in castration-resistant prostate cancer (CRPC). Secondary objectives included determining the prognostic utility of CTC measurement before initiating therapy, and the relationship of CTC to prostate-specific antigen (PSA) changes and OS at these and other time points. EXPERIMENTAL DESIGN: Blood was drawn from CRPC patients with progressive disease starting a new line of chemotherapy before treatment and monthly thereafter. Patients were stratified into predetermined Favorable or Unfavorable groups (&lt;5 and &gt; or =5 CTC/7.5mL). RESULTS: Two hundred thirty-one of 276 enrolled patients (84%) were evaluable. Patients with Unfavorable pretreatment CTC (57%) had shorter OS (median OS, 11.5 versus 21.7 months; Cox hazard ratio, 3.3; P &lt; 0.0001). Unfavorable posttreatment CTC counts also predicted shorter OS at 2 to 5, 6 to 8, 9 to 12, and 13 to 20 weeks (median OS, 6.7-9.5 versus 19.6-20.7 months; Cox hazard ratio, 3.6-6.5; P &lt; 0.0001). CTC counts predicted OS better than PSA decrement algorithms at all time points; area under the receiver operator curve for CTC was 81% to 87% and 58% to 68% for 30% PSA reduction (P = 0.0218). Prognosis for patients with (a) Unfavorable baseline CTC who converted to Favorable CTC improved (6.8 to 21.3 months); (b) Favorable baseline CTC who converted to Unfavorable worsened (&gt;26 to 9.3 months). CONCLUSIONS: CTC are the most accurate and independent predictor of OS in CRPC. These data led to Food and Drug Administration clearance of this assay for the evaluation of CRPC.", "author" : [ { "dropping-particle" : "", "family" : "Bono", "given" : "Johann S", "non-dropping-particle" : "de", "parse-names" : false, "suffix" : "" }, { "dropping-particle" : "", "family" : "Scher", "given" : "Howard I", "non-dropping-particle" : "", "parse-names" : false, "suffix" : "" }, { "dropping-particle" : "", "family" : "Montgomery", "given" : "R Bruce", "non-dropping-particle" : "", "parse-names" : false, "suffix" : "" }, { "dropping-particle" : "", "family" : "Parker", "given" : "Christopher", "non-dropping-particle" : "", "parse-names" : false, "suffix" : "" }, { "dropping-particle" : "", "family" : "Miller", "given" : "M Craig", "non-dropping-particle" : "", "parse-names" : false, "suffix" : "" }, { "dropping-particle" : "", "family" : "Tissing", "given" : "Henk", "non-dropping-particle" : "", "parse-names" : false, "suffix" : "" }, { "dropping-particle" : "V", "family" : "Doyle", "given" : "Gerald", "non-dropping-particle" : "", "parse-names" : false, "suffix" : "" }, { "dropping-particle" : "", "family" : "Terstappen", "given" : "Leon W W M", "non-dropping-particle" : "", "parse-names" : false, "suffix" : "" }, { "dropping-particle" : "", "family" : "Pienta", "given" : "Kenneth J", "non-dropping-particle" : "", "parse-names" : false, "suffix" : "" }, { "dropping-particle" : "", "family" : "Raghavan", "given" : "Derek", "non-dropping-particle" : "", "parse-names" : false, "suffix" : "" } ], "container-title" : "Clinical cancer research : an official journal of the American Association for Cancer Research", "id" : "ITEM-2", "issue" : "19", "issued" : { "date-parts" : [ [ "2008", "10" ] ] }, "page" : "6302-9", "title" : "Circulating tumor cells predict survival benefit from treatment in metastatic castration-resistant prostate cancer.", "type" : "article-journal", "volume" : "14" }, "uris" : [ "http://www.mendeley.com/documents/?uuid=e395c73b-2fe0-47e7-bccd-d72809bcbcca" ] }, { "id" : "ITEM-3", "itemData" : { "DOI" : "10.1200/JCO.2007.15.8923", "ISSN" : "1527-7755", "PMID" : "18591556", "abstract" : "PURPOSE: As treatment options expand for metastatic colorectal cancer (mCRC), a blood marker with a prognostic and predictive role could guide treatment. We tested the hypothesis that circulating tumor cells (CTCs) could predict clinical outcome in patients with mCRC. PATIENTS AND METHODS: In a prospective multicenter study, CTCs were enumerated in the peripheral blood of 430 patients with mCRC at baseline and after starting first-, second-, or third-line therapy. CTCs were measured using an immunomagnetic separation technique. RESULTS: Patients were stratified into unfavorable and favorable prognostic groups based on CTC levels of three or more or less than three CTCs/7.5 mL, respectively. Patients with unfavorable compared with favorable baseline CTCs had shorter median progression-free survival (PFS; 4.5 v 7.9 months; P = .0002) and overall survival (OS; 9.4 v 18.5 months; P &lt; .0001). Differences persisted at 1 to 2, 3 to 5, 6 to 12, and 13 to 20 weeks after therapy. Conversion of baseline unfavorable CTCs to favorable at 3 to 5 weeks was associated with significantly longer PFS and OS compared with patients with unfavorable CTCs at both time points (PFS, 6.2 v 1.6 months; P = .02; OS, 11.0 v 3.7 months; P = .0002). Among nonprogressing patients, favorable compared with unfavorable CTCs within 1 month of imaging was associated with longer survival (18.8 v 7.1 months; P &lt; .0001). Baseline and follow-up CTC levels remained strong predictors of PFS and OS after adjustment for clinically significant factors. CONCLUSION: The number of CTCs before and during treatment is an independent predictor of PFS and OS in patients with metastatic colorectal cancer. CTCs provide prognostic information in addition to that of imaging studies.", "author" : [ { "dropping-particle" : "", "family" : "Cohen", "given" : "Steven J", "non-dropping-particle" : "", "parse-names" : false, "suffix" : "" }, { "dropping-particle" : "", "family" : "Punt", "given" : "Cornelis J a", "non-dropping-particle" : "", "parse-names" : false, "suffix" : "" }, { "dropping-particle" : "", "family" : "Iannotti", "given" : "Nicholas", "non-dropping-particle" : "", "parse-names" : false, "suffix" : "" }, { "dropping-particle" : "", "family" : "Saidman", "given" : "Bruce H", "non-dropping-particle" : "", "parse-names" : false, "suffix" : "" }, { "dropping-particle" : "", "family" : "Sabbath", "given" : "Kert D", "non-dropping-particle" : "", "parse-names" : false, "suffix" : "" }, { "dropping-particle" : "", "family" : "Gabrail", "given" : "Nashat Y", "non-dropping-particle" : "", "parse-names" : false, "suffix" : "" }, { "dropping-particle" : "", "family" : "Picus", "given" : "Joel", "non-dropping-particle" : "", "parse-names" : false, "suffix" : "" }, { "dropping-particle" : "", "family" : "Morse", "given" : "Michael", "non-dropping-particle" : "", "parse-names" : false, "suffix" : "" }, { "dropping-particle" : "", "family" : "Mitchell", "given" : "Edith", "non-dropping-particle" : "", "parse-names" : false, "suffix" : "" }, { "dropping-particle" : "", "family" : "Miller", "given" : "M Craig", "non-dropping-particle" : "", "parse-names" : false, "suffix" : "" }, { "dropping-particle" : "V", "family" : "Doyle", "given" : "Gerald", "non-dropping-particle" : "", "parse-names" : false, "suffix" : "" }, { "dropping-particle" : "", "family" : "Tissing", "given" : "Henk", "non-dropping-particle" : "", "parse-names" : false, "suffix" : "" }, { "dropping-particle" : "", "family" : "Terstappen", "given" : "Leon W M M", "non-dropping-particle" : "", "parse-names" : false, "suffix" : "" }, { "dropping-particle" : "", "family" : "Meropol", "given" : "Neal J", "non-dropping-particle" : "", "parse-names" : false, "suffix" : "" } ], "container-title" : "Journal of clinical oncology : official journal of the American Society of Clinical Oncology", "id" : "ITEM-3", "issue" : "19", "issued" : { "date-parts" : [ [ "2008", "7" ] ] }, "page" : "3213-21", "title" : "Relationship of circulating tumor cells to tumor response, progression-free survival, and overall survival in patients with metastatic colorectal cancer.", "type" : "article-journal", "volume" : "26" }, "uris" : [ "http://www.mendeley.com/documents/?uuid=d94de309-b349-47d7-b087-f985f5091e42" ] } ], "mendeley" : { "previouslyFormattedCitation" : "&lt;sup&gt;4,10,29&lt;/sup&gt;"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4,10,29</w:t>
      </w:r>
      <w:r w:rsidR="0036708D" w:rsidRPr="007E40FA">
        <w:rPr>
          <w:rFonts w:ascii="Times New Roman" w:hAnsi="Times New Roman"/>
          <w:sz w:val="24"/>
          <w:szCs w:val="24"/>
        </w:rPr>
        <w:fldChar w:fldCharType="end"/>
      </w:r>
      <w:r w:rsidRPr="007E40FA">
        <w:rPr>
          <w:rFonts w:ascii="Times New Roman" w:hAnsi="Times New Roman"/>
          <w:sz w:val="24"/>
          <w:szCs w:val="24"/>
        </w:rPr>
        <w:t>,</w:t>
      </w:r>
      <w:r w:rsidR="00E54D85" w:rsidRPr="007E40FA">
        <w:rPr>
          <w:rFonts w:ascii="Times New Roman" w:hAnsi="Times New Roman"/>
          <w:sz w:val="24"/>
          <w:szCs w:val="24"/>
        </w:rPr>
        <w:t xml:space="preserve"> </w:t>
      </w:r>
      <w:r w:rsidRPr="007E40FA">
        <w:rPr>
          <w:rFonts w:ascii="Times New Roman" w:hAnsi="Times New Roman"/>
          <w:sz w:val="24"/>
          <w:szCs w:val="24"/>
        </w:rPr>
        <w:t>it does have several limitations. I</w:t>
      </w:r>
      <w:r w:rsidR="00E54D85" w:rsidRPr="007E40FA">
        <w:rPr>
          <w:rFonts w:ascii="Times New Roman" w:hAnsi="Times New Roman"/>
          <w:sz w:val="24"/>
          <w:szCs w:val="24"/>
        </w:rPr>
        <w:t>n up to 35% of patients with various metastatic cancers, CTCs are undetectable despite the presence of widespread systemic disease</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"1078-0432", "PMID" : "15501967", "abstract" : "PURPOSE: The purpose of this study was to determine the accuracy, precision, and linearity of the CellSearch system and evaluate the number of circulating tumor cells (CTCs) per 7.5 mL of blood in healthy subjects, patients with nonmalignant diseases, and patients with a variety of metastatic carcinomas. EXPERIMENTAL DESIGN: The CellSearch system was used to enumerate CTCs in 7.5 mL of blood. Blood samples spiked with cells from tumor cell lines were used to establish analytical accuracy, reproducibility, and linearity. Prevalence of CTCs was determined in blood from 199 patients with nonmalignant diseases, 964 patients with metastatic carcinomas, and 145 healthy donors. RESULTS: Enumeration of spiked tumor cells was linear over the range of 5 to 1,142 cells, with an average recovery of &gt;/=85% at each spike level. Only 1 of the 344 (0.3%) healthy and nonmalignant disease subjects had &gt;/=2 CTCs per 7.5 mL of blood. In 2,183 blood samples from 964 metastatic carcinoma patients, CTCs ranged from 0 to 23,618 CTCs per 7.5 mL (mean, 60 +/- 693 CTCs per 7.5 mL), and 36% (781 of 2,183) of the specimens had &gt;/=2 CTCs. Detection of &gt;/=2 CTCs occurred at the following rates: 57% (107 of 188) of prostate cancers, 37% (489 of 1,316) of breast cancers, 37% (20 of 53) of ovarian cancers, 30% (99 of 333) of colorectal cancers, 20% (34 of 168) of lung cancers, and 26% (32 of 125) of other cancers. CONCLUSIONS: The CellSearch system can be standardized across multiple laboratories and may be used to determine the clinical utility of CTCs. CTCs are extremely rare in healthy subjects and patients with nonmalignant diseases but present in various metastatic carcinomas with a wide range of frequencies.", "author" : [ { "dropping-particle" : "", "family" : "Allard", "given" : "W Jeffrey", "non-dropping-particle" : "", "parse-names" : false, "suffix" : "" }, { "dropping-particle" : "", "family" : "Matera", "given" : "Jeri", "non-dropping-particle" : "", "parse-names" : false, "suffix" : "" }, { "dropping-particle" : "", "family" : "Miller", "given" : "M Craig", "non-dropping-particle" : "", "parse-names" : false, "suffix" : "" }, { "dropping-particle" : "", "family" : "Repollet", "given" : "Madeline", "non-dropping-particle" : "", "parse-names" : false, "suffix" : "" }, { "dropping-particle" : "", "family" : "Connelly", "given" : "Mark C", "non-dropping-particle" : "", "parse-names" : false, "suffix" : "" }, { "dropping-particle" : "", "family" : "Rao", "given" : "Chandra", "non-dropping-particle" : "", "parse-names" : false, "suffix" : "" }, { "dropping-particle" : "", "family" : "Tibbe", "given" : "Arjan G J", "non-dropping-particle" : "", "parse-names" : false, "suffix" : "" }, { "dropping-particle" : "", "family" : "Uhr", "given" : "Jonathan W", "non-dropping-particle" : "", "parse-names" : false, "suffix" : "" }, { "dropping-particle" : "", "family" : "Terstappen", "given" : "Leon W M M", "non-dropping-particle" : "", "parse-names" : false, "suffix" : "" } ], "container-title" : "Clinical cancer research : an official journal of the American Association for Cancer Research", "id" : "ITEM-1", "issue" : "20", "issued" : { "date-parts" : [ [ "2004", "10" ] ] }, "page" : "6897-904", "title" : "Tumor cells circulate in the peripheral blood of all major carcinomas but not in healthy subjects or patients with nonmalignant diseases.", "type" : "article-journal", "volume" : "10" }, "uris" : [ "http://www.mendeley.com/documents/?uuid=fe25f3f0-26bc-41d2-b80d-659e739050fd" ] } ], "mendeley" : { "previouslyFormattedCitation" : "&lt;sup&gt;30&lt;/sup&gt;"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30</w:t>
      </w:r>
      <w:r w:rsidR="0036708D" w:rsidRPr="007E40FA">
        <w:rPr>
          <w:rFonts w:ascii="Times New Roman" w:hAnsi="Times New Roman"/>
          <w:sz w:val="24"/>
          <w:szCs w:val="24"/>
        </w:rPr>
        <w:fldChar w:fldCharType="end"/>
      </w:r>
      <w:r w:rsidR="00E54D85" w:rsidRPr="007E40FA">
        <w:rPr>
          <w:rFonts w:ascii="Times New Roman" w:hAnsi="Times New Roman"/>
          <w:sz w:val="24"/>
          <w:szCs w:val="24"/>
        </w:rPr>
        <w:t xml:space="preserve">. </w:t>
      </w:r>
      <w:r w:rsidRPr="007E40FA">
        <w:rPr>
          <w:rFonts w:ascii="Times New Roman" w:hAnsi="Times New Roman"/>
          <w:sz w:val="24"/>
          <w:szCs w:val="24"/>
        </w:rPr>
        <w:t>This lack of detection has been proposed to be as a result of the</w:t>
      </w:r>
      <w:r w:rsidR="00E54D85" w:rsidRPr="007E40FA">
        <w:rPr>
          <w:rFonts w:ascii="Times New Roman" w:hAnsi="Times New Roman"/>
          <w:sz w:val="24"/>
          <w:szCs w:val="24"/>
        </w:rPr>
        <w:t xml:space="preserve"> epithelial-to-</w:t>
      </w:r>
      <w:proofErr w:type="spellStart"/>
      <w:r w:rsidR="00E54D85" w:rsidRPr="007E40FA">
        <w:rPr>
          <w:rFonts w:ascii="Times New Roman" w:hAnsi="Times New Roman"/>
          <w:sz w:val="24"/>
          <w:szCs w:val="24"/>
        </w:rPr>
        <w:t>mesenchymal</w:t>
      </w:r>
      <w:proofErr w:type="spellEnd"/>
      <w:r w:rsidR="00E54D85" w:rsidRPr="007E40FA">
        <w:rPr>
          <w:rFonts w:ascii="Times New Roman" w:hAnsi="Times New Roman"/>
          <w:sz w:val="24"/>
          <w:szCs w:val="24"/>
        </w:rPr>
        <w:t xml:space="preserve"> transition</w:t>
      </w:r>
      <w:r w:rsidRPr="007E40FA">
        <w:rPr>
          <w:rFonts w:ascii="Times New Roman" w:hAnsi="Times New Roman"/>
          <w:sz w:val="24"/>
          <w:szCs w:val="24"/>
        </w:rPr>
        <w:t>, a</w:t>
      </w:r>
      <w:r w:rsidR="00E54D85" w:rsidRPr="007E40FA">
        <w:rPr>
          <w:rFonts w:ascii="Times New Roman" w:hAnsi="Times New Roman"/>
          <w:sz w:val="24"/>
          <w:szCs w:val="24"/>
        </w:rPr>
        <w:t xml:space="preserve"> well</w:t>
      </w:r>
      <w:r w:rsidR="003F3597" w:rsidRPr="007E40FA">
        <w:rPr>
          <w:rFonts w:ascii="Times New Roman" w:hAnsi="Times New Roman"/>
          <w:sz w:val="24"/>
          <w:szCs w:val="24"/>
        </w:rPr>
        <w:t>-</w:t>
      </w:r>
      <w:r w:rsidR="00E54D85" w:rsidRPr="007E40FA">
        <w:rPr>
          <w:rFonts w:ascii="Times New Roman" w:hAnsi="Times New Roman"/>
          <w:sz w:val="24"/>
          <w:szCs w:val="24"/>
        </w:rPr>
        <w:t xml:space="preserve">documented </w:t>
      </w:r>
      <w:r w:rsidRPr="007E40FA">
        <w:rPr>
          <w:rFonts w:ascii="Times New Roman" w:hAnsi="Times New Roman"/>
          <w:sz w:val="24"/>
          <w:szCs w:val="24"/>
        </w:rPr>
        <w:t>process known to enhance</w:t>
      </w:r>
      <w:r w:rsidR="00E54D85" w:rsidRPr="007E40FA">
        <w:rPr>
          <w:rFonts w:ascii="Times New Roman" w:hAnsi="Times New Roman"/>
          <w:sz w:val="24"/>
          <w:szCs w:val="24"/>
        </w:rPr>
        <w:t xml:space="preserve"> cancer invasion, metastasis, and overall aggressiveness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"10.1016/j.cell.2009.11.007", "ISSN" : "1097-4172", "PMID" : "19945376", "abstract" : "The epithelial to mesenchymal transition (EMT) plays crucial roles in the formation of the body plan and in the differentiation of multiple tissues and organs. EMT also contributes to tissue repair, but it can adversely cause organ fibrosis and promote carcinoma progression through a variety of mechanisms. EMT endows cells with migratory and invasive properties, induces stem cell properties, prevents apoptosis and senescence, and contributes to immunosuppression. Thus, the mesenchymal state is associated with the capacity of cells to migrate to distant organs and maintain stemness, allowing their subsequent differentiation into multiple cell types during development and the initiation of metastasis.", "author" : [ { "dropping-particle" : "", "family" : "Thiery", "given" : "Jean Paul", "non-dropping-particle" : "", "parse-names" : false, "suffix" : "" }, { "dropping-particle" : "", "family" : "Acloque", "given" : "Herv\u00e9", "non-dropping-particle" : "", "parse-names" : false, "suffix" : "" }, { "dropping-particle" : "", "family" : "Huang", "given" : "Ruby Y J", "non-dropping-particle" : "", "parse-names" : false, "suffix" : "" }, { "dropping-particle" : "", "family" : "Nieto", "given" : "M Angela", "non-dropping-particle" : "", "parse-names" : false, "suffix" : "" } ], "container-title" : "Cell", "id" : "ITEM-1", "issue" : "5", "issued" : { "date-parts" : [ [ "2009", "11", "25" ] ] }, "page" : "871-90", "title" : "Epithelial-mesenchymal transitions in development and disease.", "type" : "article-journal", "volume" : "139" }, "uris" : [ "http://www.mendeley.com/documents/?uuid=dd96b724-cd45-4d44-ad8e-8830db9f2fe4" ] } ], "mendeley" : { "previouslyFormattedCitation" : "&lt;sup&gt;31&lt;/sup&gt;"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31</w:t>
      </w:r>
      <w:r w:rsidR="0036708D" w:rsidRPr="007E40FA">
        <w:rPr>
          <w:rFonts w:ascii="Times New Roman" w:hAnsi="Times New Roman"/>
          <w:sz w:val="24"/>
          <w:szCs w:val="24"/>
        </w:rPr>
        <w:fldChar w:fldCharType="end"/>
      </w:r>
      <w:r w:rsidR="00E54D85" w:rsidRPr="007E40FA">
        <w:rPr>
          <w:rFonts w:ascii="Times New Roman" w:hAnsi="Times New Roman"/>
          <w:sz w:val="24"/>
          <w:szCs w:val="24"/>
        </w:rPr>
        <w:t xml:space="preserve">. This transition has been associated with a significant reduction in epithelial markers, such as </w:t>
      </w:r>
      <w:proofErr w:type="spellStart"/>
      <w:r w:rsidR="00E54D85" w:rsidRPr="007E40FA">
        <w:rPr>
          <w:rFonts w:ascii="Times New Roman" w:hAnsi="Times New Roman"/>
          <w:sz w:val="24"/>
          <w:szCs w:val="24"/>
        </w:rPr>
        <w:t>EpCAM</w:t>
      </w:r>
      <w:proofErr w:type="spellEnd"/>
      <w:r w:rsidRPr="007E40FA">
        <w:rPr>
          <w:rFonts w:ascii="Times New Roman" w:hAnsi="Times New Roman"/>
          <w:sz w:val="24"/>
          <w:szCs w:val="24"/>
        </w:rPr>
        <w:t xml:space="preserve">, </w:t>
      </w:r>
      <w:r w:rsidR="00E54D85" w:rsidRPr="007E40FA">
        <w:rPr>
          <w:rFonts w:ascii="Times New Roman" w:hAnsi="Times New Roman"/>
          <w:sz w:val="24"/>
          <w:szCs w:val="24"/>
        </w:rPr>
        <w:t xml:space="preserve">and a corresponding increase in </w:t>
      </w:r>
      <w:proofErr w:type="spellStart"/>
      <w:r w:rsidR="00E54D85" w:rsidRPr="007E40FA">
        <w:rPr>
          <w:rFonts w:ascii="Times New Roman" w:hAnsi="Times New Roman"/>
          <w:sz w:val="24"/>
          <w:szCs w:val="24"/>
        </w:rPr>
        <w:t>mesenchymal</w:t>
      </w:r>
      <w:proofErr w:type="spellEnd"/>
      <w:r w:rsidR="00E54D85" w:rsidRPr="007E40FA">
        <w:rPr>
          <w:rFonts w:ascii="Times New Roman" w:hAnsi="Times New Roman"/>
          <w:sz w:val="24"/>
          <w:szCs w:val="24"/>
        </w:rPr>
        <w:t xml:space="preserve"> markers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"ISSN" : "1878-1551", "PMID" : "18539112", "abstract" : "The epithelial-mesenchymal transition is a highly conserved cellular program that allows polarized, immotile epithelial cells to convert to motile mesenchymal cells. This important process was initially recognized during several critical stages of embryonic development and has more recently been implicated in promoting carcinoma invasion and metastasis. In this review, we summarize and compare major signaling pathways that regulate the epithelial-mesenchymal transitions during both development and tumor metastasis. Studies in both fields are critical for our molecular understanding of cell migration and morphogenesis.", "author" : [ { "dropping-particle" : "", "family" : "Yang", "given" : "Jing", "non-dropping-particle" : "", "parse-names" : false, "suffix" : "" }, { "dropping-particle" : "", "family" : "Weinberg", "given" : "Robert a", "non-dropping-particle" : "", "parse-names" : false, "suffix" : "" } ], "container-title" : "Developmental cell", "id" : "ITEM-1", "issue" : "6", "issued" : { "date-parts" : [ [ "2008", "6" ] ] }, "page" : "818-29", "title" : "Epithelial-mesenchymal transition: at the crossroads of development and tumor metastasis.", "type" : "article-journal", "volume" : "14" }, "uris" : [ "http://www.mendeley.com/documents/?uuid=90cf5e36-55dc-44b4-8e55-0f3b822c34f9" ] } ], "mendeley" : { "previouslyFormattedCitation" : "&lt;sup&gt;32&lt;/sup&gt;"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32</w:t>
      </w:r>
      <w:r w:rsidR="0036708D" w:rsidRPr="007E40FA">
        <w:rPr>
          <w:rFonts w:ascii="Times New Roman" w:hAnsi="Times New Roman"/>
          <w:sz w:val="24"/>
          <w:szCs w:val="24"/>
        </w:rPr>
        <w:fldChar w:fldCharType="end"/>
      </w:r>
      <w:r w:rsidR="00E54D85" w:rsidRPr="007E40FA">
        <w:rPr>
          <w:rFonts w:ascii="Times New Roman" w:hAnsi="Times New Roman"/>
          <w:sz w:val="24"/>
          <w:szCs w:val="24"/>
        </w:rPr>
        <w:t xml:space="preserve">. Several studies have recently demonstrated that the presence of these </w:t>
      </w:r>
      <w:proofErr w:type="spellStart"/>
      <w:r w:rsidR="00E54D85" w:rsidRPr="007E40FA">
        <w:rPr>
          <w:rFonts w:ascii="Times New Roman" w:hAnsi="Times New Roman"/>
          <w:sz w:val="24"/>
          <w:szCs w:val="24"/>
        </w:rPr>
        <w:t>mesenchymal</w:t>
      </w:r>
      <w:proofErr w:type="spellEnd"/>
      <w:r w:rsidR="00E54D85" w:rsidRPr="007E40FA">
        <w:rPr>
          <w:rFonts w:ascii="Times New Roman" w:hAnsi="Times New Roman"/>
          <w:sz w:val="24"/>
          <w:szCs w:val="24"/>
        </w:rPr>
        <w:t xml:space="preserve"> markers in CTCs are predictive of poorer prognosis and that many of these cells lack expression of epithelial markers that would be necessary for their detection using the </w:t>
      </w:r>
      <w:r w:rsidR="004C0272" w:rsidRPr="007E40FA">
        <w:rPr>
          <w:rFonts w:ascii="Times New Roman" w:hAnsi="Times New Roman"/>
          <w:sz w:val="24"/>
          <w:szCs w:val="24"/>
        </w:rPr>
        <w:t>CSS</w:t>
      </w:r>
      <w:r w:rsidR="0036708D" w:rsidRPr="007E40FA">
        <w:rPr>
          <w:rFonts w:ascii="Times New Roman" w:hAnsi="Times New Roman"/>
          <w:sz w:val="24"/>
          <w:szCs w:val="24"/>
        </w:rPr>
        <w:fldChar w:fldCharType="begin" w:fldLock="1"/>
      </w:r>
      <w:r w:rsidR="007F0560" w:rsidRPr="007E40FA">
        <w:rPr>
          <w:rFonts w:ascii="Times New Roman" w:hAnsi="Times New Roman"/>
          <w:sz w:val="24"/>
          <w:szCs w:val="24"/>
        </w:rPr>
        <w:instrText>ADDIN CSL_CITATION { "citationItems" : [ { "id" : "ITEM-1", "itemData" : { "DOI" : "10.1111/j.1582-4934.2011.01285.x", "ISSN" : "1582-4934", "PMID" : "21352474", "abstract" : "Circulating tumour cells (CTCs) are independent predictor of prognosis in metastatic breast cancer. Nevertheless, in one third of patients, circulating tumour cells are undetected by conventional methods. Aim of the study was to assess the prognostic value of circulating tumour cells expressing mesenchymal markers in metastatic breast cancer patients. We isolated CTC from blood of 55 metastatic breast cancer patients. CTC were characterized for cytokeratins and markers of epithelial mesenchymal transition. The gain of mesenchymal markers in CTC was correlated to prognosis of patients in a follow-up of 24 months. The presence of mesenchymal markers on CTC more accurately predicted worse prognosis than the expression of cytokeratins alone. Because of the frequent loss of epithelial antigens by CTC, assays targeting epithelial antigens may miss the most invasive cell population. Thus, there is an urgent need to improve detection methods to identify CTC which undergone epithelial mesenchymal transition program.", "author" : [ { "dropping-particle" : "", "family" : "Gradilone", "given" : "Angela", "non-dropping-particle" : "", "parse-names" : false, "suffix" : "" }, { "dropping-particle" : "", "family" : "Raimondi", "given" : "Cristina", "non-dropping-particle" : "", "parse-names" : false, "suffix" : "" }, { "dropping-particle" : "", "family" : "Nicolazzo", "given" : "Chiara", "non-dropping-particle" : "", "parse-names" : false, "suffix" : "" }, { "dropping-particle" : "", "family" : "Petracca", "given" : "Arianna", "non-dropping-particle" : "", "parse-names" : false, "suffix" : "" }, { "dropping-particle" : "", "family" : "Gandini", "given" : "Orietta", "non-dropping-particle" : "", "parse-names" : false, "suffix" : "" }, { "dropping-particle" : "", "family" : "Vincenzi", "given" : "Bruno", "non-dropping-particle" : "", "parse-names" : false, "suffix" : "" }, { "dropping-particle" : "", "family" : "Naso", "given" : "Giuseppe", "non-dropping-particle" : "", "parse-names" : false, "suffix" : "" }, { "dropping-particle" : "", "family" : "Aglian\u00f2", "given" : "Anna Maria", "non-dropping-particle" : "", "parse-names" : false, "suffix" : "" }, { "dropping-particle" : "", "family" : "Cortesi", "given" : "Enrico", "non-dropping-particle" : "", "parse-names" : false, "suffix" : "" }, { "dropping-particle" : "", "family" : "Gazzaniga", "given" : "Paola", "non-dropping-particle" : "", "parse-names" : false, "suffix" : "" } ], "container-title" : "Journal of cellular and molecular medicine", "id" : "ITEM-1", "issue" : "5", "issued" : { "date-parts" : [ [ "2011", "5" ] ] }, "page" : "1066-70", "title" : "Circulating tumour cells lacking cytokeratin in breast cancer: the importance of being mesenchymal.", "type" : "article-journal", "volume" : "15" }, "uris" : [ "http://www.mendeley.com/documents/?uuid=2df416ac-f71d-42b0-a565-c49ad92676d1" ] }, { "id" : "ITEM-2", "itemData" : { "ISSN" : "1651-226X", "PMID" : "21261508", "abstract" : "Abstract Background. Immunomagnetic EpCAM based methods are used to enrich circulating tumor cells (CTCs) in metastatic breast cancer (mBC) patients. EpCAM negative CTCs may be missed. We addressed the question of the reliability of an EpCAM dependent assay to enrich CTCs. Methods. To elucidate this issue, our study has been designed to assess two different CTC enrichment technologies (i) in EpCAM positive (+) and EpCAM negative cell lines and (ii) in mBC patients in dependency on their respective EpCAM expression. These two technologies encompass one anti-EpCAM immunomagnetic enrichment technology, MACS HEA MicroBeads(\u00ae) (MACS), and one EpCAM independent density centrifugation method, OncoQuick(\u00ae) plus (OQ+). Furthermore, the coherence between EpCAM expression in the primary tumor tissue of mBC patients and the CTC detection rates in the corresponding patients is analyzed. Results. (i) MACS recovered significantly more EpCAM (+) than EpCAM (-) tumor cells (p &lt; 0.001) in spiked blood samples. With OQ+ no significantly different recovery rates between EpCAM (+) and EpCAM (-) tumor cells (p = 0.796) were detected. (ii) In mBC patients MACS yielded a significantly higher (p = 0.024) detection rate of EpCAM (+) CTCs. No statistically significant difference (p = 0.070) was found concerning the EpCAM status-based detection rate of CTCs by OQ+. (iii) CTC detection rates are independent of the primary tumors\u00b4 EpCAM expression. Conclusions. EpCAM (-) CTCs can not be detected by immunomagnetic EpCAM dependent enrichment methods. EpCAM independent enrichment technologies seem to be superior to detect the entire CTC population. Evaluation of CTCs as prognostic marker should compromise EpCAM (+) and (-) subpopulations.", "author" : [ { "dropping-particle" : "", "family" : "K\u00f6nigsberg", "given" : "Robert", "non-dropping-particle" : "", "parse-names" : false, "suffix" : "" }, { "dropping-particle" : "", "family" : "Obermayr", "given" : "Eva", "non-dropping-particle" : "", "parse-names" : false, "suffix" : "" }, { "dropping-particle" : "", "family" : "Bises", "given" : "Giovanna", "non-dropping-particle" : "", "parse-names" : false, "suffix" : "" }, { "dropping-particle" : "", "family" : "Pfeiler", "given" : "Georg", "non-dropping-particle" : "", "parse-names" : false, "suffix" : "" }, { "dropping-particle" : "", "family" : "Gneist", "given" : "Margit", "non-dropping-particle" : "", "parse-names" : false, "suffix" : "" }, { "dropping-particle" : "", "family" : "Wrba", "given" : "Fritz", "non-dropping-particle" : "", "parse-names" : false, "suffix" : "" }, { "dropping-particle" : "", "family" : "Santis", "given" : "Maria", "non-dropping-particle" : "De", "parse-names" : false, "suffix" : "" }, { "dropping-particle" : "", "family" : "Zeillinger", "given" : "Robert", "non-dropping-particle" : "", "parse-names" : false, "suffix" : "" }, { "dropping-particle" : "", "family" : "Hudec", "given" : "Marcus", "non-dropping-particle" : "", "parse-names" : false, "suffix" : "" }, { "dropping-particle" : "", "family" : "Dittrich", "given" : "Christian", "non-dropping-particle" : "", "parse-names" : false, "suffix" : "" } ], "container-title" : "Acta oncologica (Stockholm, Sweden)", "id" : "ITEM-2", "issue" : "Epub", "issued" : { "date-parts" : [ [ "2011", "1", "24" ] ] }, "page" : "Epub", "title" : "Detection of EpCAM positive and negative circulating tumor cells in metastatic breast cancer patients.", "type" : "article-journal", "volume" : "Epub" }, "uris" : [ "http://www.mendeley.com/documents/?uuid=3c466b00-be97-45fe-a7c9-a45f9e16c37c" ] }, { "id" : "ITEM-3", "itemData" : { "DOI" : "10.1186/bcr3099", "ISSN" : "1465-542X", "PMID" : "22264265", "abstract" : "ABSTRACT:  INTRODUCTION: The presence of circulating tumor cells (CTC) in breast cancer might be associated with stem cell like tumor cells which have been suggested to be the active source of metastatic spread in primary tumors. Furthermore, to be able to disseminate and metastasize, CTC must be able to perform epithelial-mesenchymal transition (EMT). We studied the expression of three EMT markers and the stem cell marker ALDH1 in CTC from 502 primary breast cancer patients. Data were correlated with the presence of disseminated tumor cells (DTC) in the bone marrow (BM) and clinicopathological data of the patients. METHODS: 2 x 5 ml blood was analyzed for CTC with the AdnaTest BreastCancer (AdnaGen AG) for the detection of EpCAM, MUC-1, HER2 and beta-Actin transcripts. The recovered c-DNA was additionally multiplex tested for three EMT markers [TWIST1, Akt2, PI3Kalpha] and separately for the tumor stem cell marker ALDH1. The identification of EMT markers was considered positive if at least one marker was detected in the sample. Two BM aspirates from all patients were analyzed for DTC by immunocytochemistry using the pan-cytokeratin antibody A45-B/B3.  RESULTS: 97% of 30 healthy donor samples investigated were negative for EMT and 95% for ALDH1 transcripts, respectively. CTCs were detected in 97/502 (19%) patients. At least one of the EMT markers was expressed in 29% and ALDH1 was present in 14% of the samples, respectively. Interestingly, 5% of the ALDH1-positive and 18% of the EMT-positive patients were CTC-negative based on the cut-off level determined for CTC-positivity applying the AdnaTest BreastCancer. DTC in the BM were detected in 107/502 (21%) patients and no correlation was found between BM status and CTC positivity (p=0.41). The presence of CTC, EMT and ALDH1 expression was not correlated to any of the prognostic clinical markers.  CONCLUSION: Our data indicate that (1) a subset of primary breast cancer patients shows EMT and stem cell characteristics and (2) the currently used detection methods for CTC are not efficient to identify a subtype of CTC which underwent EMT. (3) The clinical relevance on prognosis and therapy response has to be further evaluated in a prospective trial.", "author" : [ { "dropping-particle" : "", "family" : "Kasimir-Bauer", "given" : "Sabine", "non-dropping-particle" : "", "parse-names" : false, "suffix" : "" }, { "dropping-particle" : "", "family" : "Hoffmann", "given" : "Oliver", "non-dropping-particle" : "", "parse-names" : false, "suffix" : "" }, { "dropping-particle" : "", "family" : "Wallwiener", "given" : "Diethelm", "non-dropping-particle" : "", "parse-names" : false, "suffix" : "" }, { "dropping-particle" : "", "family" : "Kimmig", "given" : "Rainer", "non-dropping-particle" : "", "parse-names" : false, "suffix" : "" }, { "dropping-particle" : "", "family" : "Fehm", "given" : "Tanja", "non-dropping-particle" : "", "parse-names" : false, "suffix" : "" } ], "container-title" : "Breast cancer research : BCR", "id" : "ITEM-3", "issue" : "1", "issued" : { "date-parts" : [ [ "2012", "1", "20" ] ] }, "page" : "R15", "title" : "Expression of stem cell and epithelial-mesenchymal transition markers in primary breast cancer patients with circulating tumor cells.", "type" : "article-journal", "volume" : "14" }, "uris" : [ "http://www.mendeley.com/documents/?uuid=93b74a65-20fd-41ab-9727-6c81f10ccc28" ] }, { "id" : "ITEM-4", "itemData" : { "ISSN" : "1097-0215", "PMID" : "21387303", "abstract" : "Epithelial cancer cells are likely to undergo epithelial mesenchymal transition (EMT) prior to entering the peripheral circulation. By undergoing EMT, circulating tumor cells (CTCs) lose epithelial markers and may escape detection by conventional methods. Therefore, we conducted a pilot study to investigate mRNA transcripts of EMT-inducing transcription factors (TFs) in tumor cells from the peripheral blood (PB) of primary breast cancer (PBC) patients. Peripheral blood mononuclear cells were isolated from 52 stages I-III PBC patients and 30 healthy donors (HD) and sequentially depleted of EpCAM(+) cells and CD45(+) leukocytes, henceforth referred to as CD45(-) . The expression levels of EMT-inducing TFs (TWIST1, SNAIL1, SLUG, ZEB1, and FOXC2) in the CD45(-) cells were determined using qRT-PCR. The highest level of expression by the CD45(-) cell fraction of HD was used as \"cut off\" to determine if samples from PBC patients overexpressed any EMT-inducing TFs. In total, 15.4% of PBC patients overexpressed at least one of the EMT-inducing TF transcripts. Overexpression of any EMT-inducing TF transcripts was more likely to be detected in PBC patients who received neoadjuvant therapies (NAT) than patients who received no NAT (P = 0.003). Concurrently, CTCs were detected in 7 out of 38 (18.4%) patients by CellSearch\u00ae and 15 out of 42 (35.7%) patients by AdnaTest\u2122. There was no association between the presence of CTCs measured by CellSearch\u00ae or AdnaTest\u2122. In summary, our results demonstrate that CTCs with EMT phenotype may occur in the peripheral circulation of PBC patients and NAT is unable to eliminate CTCs undergoing EMT.", "author" : [ { "dropping-particle" : "", "family" : "Mego", "given" : "Michal", "non-dropping-particle" : "", "parse-names" : false, "suffix" : "" }, { "dropping-particle" : "", "family" : "Mani", "given" : "Sendurai A", "non-dropping-particle" : "", "parse-names" : false, "suffix" : "" }, { "dropping-particle" : "", "family" : "Lee", "given" : "Bang-Ning", "non-dropping-particle" : "", "parse-names" : false, "suffix" : "" }, { "dropping-particle" : "", "family" : "Li", "given" : "Changping", "non-dropping-particle" : "", "parse-names" : false, "suffix" : "" }, { "dropping-particle" : "", "family" : "Evans", "given" : "Kurt W", "non-dropping-particle" : "", "parse-names" : false, "suffix" : "" }, { "dropping-particle" : "", "family" : "Cohen", "given" : "Evan N", "non-dropping-particle" : "", "parse-names" : false, "suffix" : "" }, { "dropping-particle" : "", "family" : "Gao", "given" : "Hui", "non-dropping-particle" : "", "parse-names" : false, "suffix" : "" }, { "dropping-particle" : "", "family" : "Jackson", "given" : "Summer A", "non-dropping-particle" : "", "parse-names" : false, "suffix" : "" }, { "dropping-particle" : "", "family" : "Giordano", "given" : "Antonio", "non-dropping-particle" : "", "parse-names" : false, "suffix" : "" }, { "dropping-particle" : "", "family" : "Hortobagyi", "given" : "Gabriel N", "non-dropping-particle" : "", "parse-names" : false, "suffix" : "" }, { "dropping-particle" : "", "family" : "Cristofanilli", "given" : "Massimo", "non-dropping-particle" : "", "parse-names" : false, "suffix" : "" }, { "dropping-particle" : "", "family" : "Lucci", "given" : "Anthony", "non-dropping-particle" : "", "parse-names" : false, "suffix" : "" }, { "dropping-particle" : "", "family" : "Reuben", "given" : "James M", "non-dropping-particle" : "", "parse-names" : false, "suffix" : "" } ], "container-title" : "International journal of cancer. Journal international du cancer", "id" : "ITEM-4", "issue" : "Epub", "issued" : { "date-parts" : [ [ "2011", "3", "8" ] ] }, "page" : "Epub", "title" : "Expression of epithelial-mesenchymal transition-inducing transcription factors in primary breast cancer: The effect of neoadjuvant therapy.", "type" : "article-journal", "volume" : "Epub" }, "uris" : [ "http://www.mendeley.com/documents/?uuid=e59eb01c-66e2-4857-a8da-98b1387f1c81" ] }, { "id" : "ITEM-5", "itemData" : { "DOI" : "10.1126/science.1228522", "ISSN" : "1095-9203", "PMID" : "23372014", "abstract" : "Epithelial-mesenchymal transition (EMT) of adherent epithelial cells to a migratory mesenchymal state has been implicated in tumor metastasis in preclinical models. To investigate its role in human cancer, we characterized EMT in circulating tumor cells (CTCs) from breast cancer patients. Rare primary tumor cells simultaneously expressed mesenchymal and epithelial markers, but mesenchymal cells were highly enriched in CTCs. Serial CTC monitoring in 11 patients suggested an association of mesenchymal CTCs with disease progression. In an index patient, reversible shifts between these cell fates accompanied each cycle of response to therapy and disease progression. Mesenchymal CTCs occurred as both single cells and multicellular clusters, expressing known EMT regulators, including transforming growth factor (TGF)-\u03b2 pathway components and the FOXC1 transcription factor. These data support a role for EMT in the blood-borne dissemination of human breast cancer.", "author" : [ { "dropping-particle" : "", "family" : "Yu", "given" : "Min", "non-dropping-particle" : "", "parse-names" : false, "suffix" : "" }, { "dropping-particle" : "", "family" : "Bardia", "given" : "Aditya", "non-dropping-particle" : "", "parse-names" : false, "suffix" : "" }, { "dropping-particle" : "", "family" : "Wittner", "given" : "Ben S", "non-dropping-particle" : "", "parse-names" : false, "suffix" : "" }, { "dropping-particle" : "", "family" : "Stott", "given" : "Shannon L", "non-dropping-particle" : "", "parse-names" : false, "suffix" : "" }, { "dropping-particle" : "", "family" : "Smas", "given" : "Malgorzata E", "non-dropping-particle" : "", "parse-names" : false, "suffix" : "" }, { "dropping-particle" : "", "family" : "Ting", "given" : "David T", "non-dropping-particle" : "", "parse-names" : false, "suffix" : "" }, { "dropping-particle" : "", "family" : "Isakoff", "given" : "Steven J", "non-dropping-particle" : "", "parse-names" : false, "suffix" : "" }, { "dropping-particle" : "", "family" : "Ciciliano", "given" : "Jordan C", "non-dropping-particle" : "", "parse-names" : false, "suffix" : "" }, { "dropping-particle" : "", "family" : "Wells", "given" : "Marissa N", "non-dropping-particle" : "", "parse-names" : false, "suffix" : "" }, { "dropping-particle" : "", "family" : "Shah", "given" : "Ajay M", "non-dropping-particle" : "", "parse-names" : false, "suffix" : "" }, { "dropping-particle" : "", "family" : "Concannon", "given" : "Kyle F", "non-dropping-particle" : "", "parse-names" : false, "suffix" : "" }, { "dropping-particle" : "", "family" : "Donaldson", "given" : "Maria C", "non-dropping-particle" : "", "parse-names" : false, "suffix" : "" }, { "dropping-particle" : "V", "family" : "Sequist", "given" : "Lecia", "non-dropping-particle" : "", "parse-names" : false, "suffix" : "" }, { "dropping-particle" : "", "family" : "Brachtel", "given" : "Elena", "non-dropping-particle" : "", "parse-names" : false, "suffix" : "" }, { "dropping-particle" : "", "family" : "Sgroi", "given" : "Dennis", "non-dropping-particle" : "", "parse-names" : false, "suffix" : "" }, { "dropping-particle" : "", "family" : "Baselga", "given" : "Jose", "non-dropping-particle" : "", "parse-names" : false, "suffix" : "" }, { "dropping-particle" : "", "family" : "Ramaswamy", "given" : "Sridhar", "non-dropping-particle" : "", "parse-names" : false, "suffix" : "" }, { "dropping-particle" : "", "family" : "Toner", "given" : "Mehmet", "non-dropping-particle" : "", "parse-names" : false, "suffix" : "" }, { "dropping-particle" : "", "family" : "Haber", "given" : "Daniel a", "non-dropping-particle" : "", "parse-names" : false, "suffix" : "" }, { "dropping-particle" : "", "family" : "Maheswaran", "given" : "Shyamala", "non-dropping-particle" : "", "parse-names" : false, "suffix" : "" } ], "container-title" : "Science (New York, N.Y.)", "id" : "ITEM-5", "issue" : "6119", "issued" : { "date-parts" : [ [ "2013", "2", "1" ] ] }, "page" : "580-4", "title" : "Circulating breast tumor cells exhibit dynamic changes in epithelial and mesenchymal composition.", "type" : "article-journal", "volume" : "339" }, "uris" : [ "http://www.mendeley.com/documents/?uuid=a1055e5a-319a-40d6-b05e-5f870d7bc918" ] }, { "id" : "ITEM-6", "itemData" : { "DOI" : "10.1186/1471-2407-12-178", "ISSN" : "1471-2407", "PMID" : "22591372", "abstract" : "Circulating tumour cells (CTCs) have shown prognostic relevance in metastatic breast, prostate, colon and pancreatic cancer. For further development of CTCs as a biomarker, we compared the performance of different protocols for CTC detection in murine breast cancer xenograft models (MDA-MB-231, MDA-MB-468 and KPL-4). Blood samples were taken from tumour bearing animals (20 to 200\u2009mm2) and analysed for CTCs using 1. an epithelial marker based enrichment method (AdnaTest), 2. an antibody independent technique, targeting human gene transcripts (qualitative PCR), and 3. an antibody-independent approach, targeting human DNA-sequences (quantitative PCR). Further, gene expression changes associated with epithelial-to-mesenchymal transition (EMT) were determined with an EMT-specific PCR assay.", "author" : [ { "dropping-particle" : "", "family" : "Gorges", "given" : "Tobias M", "non-dropping-particle" : "", "parse-names" : false, "suffix" : "" }, { "dropping-particle" : "", "family" : "Tinhofer", "given" : "Ingeborg", "non-dropping-particle" : "", "parse-names" : false, "suffix" : "" }, { "dropping-particle" : "", "family" : "Drosch", "given" : "Michael", "non-dropping-particle" : "", "parse-names" : false, "suffix" : "" }, { "dropping-particle" : "", "family" : "R\u00f6se", "given" : "Lars", "non-dropping-particle" : "", "parse-names" : false, "suffix" : "" }, { "dropping-particle" : "", "family" : "Zollner", "given" : "Thomas M", "non-dropping-particle" : "", "parse-names" : false, "suffix" : "" }, { "dropping-particle" : "", "family" : "Krahn", "given" : "Thomas", "non-dropping-particle" : "", "parse-names" : false, "suffix" : "" }, { "dropping-particle" : "", "family" : "Ahsen", "given" : "Oliver", "non-dropping-particle" : "von", "parse-names" : false, "suffix" : "" } ], "container-title" : "BMC cancer", "id" : "ITEM-6", "issued" : { "date-parts" : [ [ "2012", "1" ] ] }, "page" : "178", "title" : "Circulating tumour cells escape from EpCAM-based detection due to epithelial-to-mesenchymal transition.", "type" : "article-journal", "volume" : "12" }, "uris" : [ "http://www.mendeley.com/documents/?uuid=8a1b6d65-8451-481f-9516-38d7108d6767" ] }, { "id" : "ITEM-7", "itemData" : { "DOI" : "10.1158/1541-7786.MCR-10-0490", "ISSN" : "1557-3125", "PMID" : "21665936", "abstract" : "During cancer progression, malignant cells undergo epithelial-mesenchymal transitions (EMT) and mesenchymal-epithelial transitions (MET) as part of a broad invasion and metastasis program. We previously observed MET events among lung metastases in a preclinical model of prostate adenocarcinoma that suggested a relationship between epithelial plasticity and metastatic spread. We thus sought to translate these findings into clinical evidence by examining the existence of EMT in circulating tumor cells (CTC) from patients with progressive metastatic solid tumors, with a focus on men with castration-resistant prostate cancer (CRPC) and women with metastatic breast cancer. We showed that the majority (&gt; 80%) of these CTCs in patients with metastatic CRPC coexpress epithelial proteins such as epithelial cell adhesion molecule (EpCAM), cytokeratins (CK), and E-cadherin, with mesenchymal proteins including vimentin, N-cadherin and O-cadherin, and the stem cell marker CD133. Equally, we found that more than 75% of CTCs from women with metastatic breast cancer coexpress CK, vimentin, and N-cadherin. The existence and high frequency of these CTCs coexpressing epithelial, mesenchymal, and stem cell markers in patients with progressive metastases has important implications for the application and interpretation of approved methods to detect CTCs.", "author" : [ { "dropping-particle" : "", "family" : "Armstrong", "given" : "Andrew J", "non-dropping-particle" : "", "parse-names" : false, "suffix" : "" }, { "dropping-particle" : "", "family" : "Marengo", "given" : "Matthew S", "non-dropping-particle" : "", "parse-names" : false, "suffix" : "" }, { "dropping-particle" : "", "family" : "Oltean", "given" : "Sebastian", "non-dropping-particle" : "", "parse-names" : false, "suffix" : "" }, { "dropping-particle" : "", "family" : "Kemeny", "given" : "Gabor", "non-dropping-particle" : "", "parse-names" : false, "suffix" : "" }, { "dropping-particle" : "", "family" : "Bitting", "given" : "Rhonda L", "non-dropping-particle" : "", "parse-names" : false, "suffix" : "" }, { "dropping-particle" : "", "family" : "Turnbull", "given" : "James D", "non-dropping-particle" : "", "parse-names" : false, "suffix" : "" }, { "dropping-particle" : "", "family" : "Herold", "given" : "Christina I", "non-dropping-particle" : "", "parse-names" : false, "suffix" : "" }, { "dropping-particle" : "", "family" : "Marcom", "given" : "Paul K", "non-dropping-particle" : "", "parse-names" : false, "suffix" : "" }, { "dropping-particle" : "", "family" : "George", "given" : "Daniel J", "non-dropping-particle" : "", "parse-names" : false, "suffix" : "" }, { "dropping-particle" : "", "family" : "Garcia-Blanco", "given" : "Mariano a", "non-dropping-particle" : "", "parse-names" : false, "suffix" : "" } ], "container-title" : "Molecular cancer research : MCR", "id" : "ITEM-7", "issue" : "8", "issued" : { "date-parts" : [ [ "2011", "8" ] ] }, "page" : "997-1007", "title" : "Circulating tumor cells from patients with advanced prostate and breast cancer display both epithelial and mesenchymal markers.", "type" : "article-journal", "volume" : "9" }, "uris" : [ "http://www.mendeley.com/documents/?uuid=a3924191-3dec-47bf-bb3f-2a9a44b4fb81" ] } ], "mendeley" : { "previouslyFormattedCitation" : "&lt;sup&gt;24,33\u201338&lt;/sup&gt;" }, "properties" : { "noteIndex" : 0 }, "schema" : "https://github.com/citation-style-language/schema/raw/master/csl-citation.json" }</w:instrText>
      </w:r>
      <w:r w:rsidR="0036708D" w:rsidRPr="007E40FA">
        <w:rPr>
          <w:rFonts w:ascii="Times New Roman" w:hAnsi="Times New Roman"/>
          <w:sz w:val="24"/>
          <w:szCs w:val="24"/>
        </w:rPr>
        <w:fldChar w:fldCharType="separate"/>
      </w:r>
      <w:r w:rsidR="007F0560" w:rsidRPr="007E40FA">
        <w:rPr>
          <w:rFonts w:ascii="Times New Roman" w:hAnsi="Times New Roman"/>
          <w:noProof/>
          <w:sz w:val="24"/>
          <w:szCs w:val="24"/>
          <w:vertAlign w:val="superscript"/>
        </w:rPr>
        <w:t>24,33–38</w:t>
      </w:r>
      <w:r w:rsidR="0036708D" w:rsidRPr="007E40FA">
        <w:rPr>
          <w:rFonts w:ascii="Times New Roman" w:hAnsi="Times New Roman"/>
          <w:sz w:val="24"/>
          <w:szCs w:val="24"/>
        </w:rPr>
        <w:fldChar w:fldCharType="end"/>
      </w:r>
      <w:r w:rsidR="00E54D85" w:rsidRPr="007E40FA">
        <w:rPr>
          <w:rFonts w:ascii="Times New Roman" w:hAnsi="Times New Roman"/>
          <w:sz w:val="24"/>
          <w:szCs w:val="24"/>
        </w:rPr>
        <w:t xml:space="preserve">. This suggests that the standard </w:t>
      </w:r>
      <w:r w:rsidR="004C0272" w:rsidRPr="007E40FA">
        <w:rPr>
          <w:rFonts w:ascii="Times New Roman" w:hAnsi="Times New Roman"/>
          <w:sz w:val="24"/>
          <w:szCs w:val="24"/>
        </w:rPr>
        <w:t>CSS</w:t>
      </w:r>
      <w:r w:rsidR="00E54D85" w:rsidRPr="007E40FA">
        <w:rPr>
          <w:rFonts w:ascii="Times New Roman" w:hAnsi="Times New Roman"/>
          <w:sz w:val="24"/>
          <w:szCs w:val="24"/>
        </w:rPr>
        <w:t xml:space="preserve"> definition may be missing some of the most </w:t>
      </w:r>
      <w:r w:rsidRPr="007E40FA">
        <w:rPr>
          <w:rFonts w:ascii="Times New Roman" w:hAnsi="Times New Roman"/>
          <w:sz w:val="24"/>
          <w:szCs w:val="24"/>
        </w:rPr>
        <w:t>aggressive CTCs</w:t>
      </w:r>
      <w:r w:rsidR="00E54D85" w:rsidRPr="007E40FA">
        <w:rPr>
          <w:rFonts w:ascii="Times New Roman" w:hAnsi="Times New Roman"/>
          <w:sz w:val="24"/>
          <w:szCs w:val="24"/>
        </w:rPr>
        <w:t>.</w:t>
      </w:r>
      <w:r w:rsidRPr="007E40FA">
        <w:rPr>
          <w:rFonts w:ascii="Times New Roman" w:hAnsi="Times New Roman"/>
          <w:sz w:val="24"/>
          <w:szCs w:val="24"/>
        </w:rPr>
        <w:t xml:space="preserve"> </w:t>
      </w:r>
      <w:r w:rsidR="00E54D85" w:rsidRPr="007E40FA">
        <w:rPr>
          <w:rFonts w:ascii="Times New Roman" w:hAnsi="Times New Roman"/>
          <w:sz w:val="24"/>
          <w:szCs w:val="24"/>
        </w:rPr>
        <w:t xml:space="preserve"> </w:t>
      </w:r>
    </w:p>
    <w:p w:rsidR="003F3597" w:rsidRPr="007E40FA" w:rsidRDefault="00425E34" w:rsidP="001F0875">
      <w:pPr>
        <w:autoSpaceDE w:val="0"/>
        <w:autoSpaceDN w:val="0"/>
        <w:adjustRightInd w:val="0"/>
        <w:spacing w:after="0" w:line="240" w:lineRule="auto"/>
        <w:jc w:val="both"/>
        <w:rPr>
          <w:rFonts w:ascii="Times New Roman" w:eastAsiaTheme="minorHAnsi" w:hAnsi="Times New Roman"/>
          <w:sz w:val="24"/>
          <w:szCs w:val="24"/>
        </w:rPr>
      </w:pPr>
      <w:r w:rsidRPr="007E40FA">
        <w:rPr>
          <w:rFonts w:ascii="Times New Roman" w:hAnsi="Times New Roman"/>
          <w:sz w:val="24"/>
          <w:szCs w:val="24"/>
        </w:rPr>
        <w:t xml:space="preserve">Despite the described limitations, </w:t>
      </w:r>
      <w:r w:rsidR="00EB225B" w:rsidRPr="007E40FA">
        <w:rPr>
          <w:rFonts w:ascii="Times New Roman" w:hAnsi="Times New Roman"/>
          <w:sz w:val="24"/>
          <w:szCs w:val="24"/>
        </w:rPr>
        <w:t xml:space="preserve">it is anticipated </w:t>
      </w:r>
      <w:r w:rsidRPr="007E40FA">
        <w:rPr>
          <w:rFonts w:ascii="Times New Roman" w:hAnsi="Times New Roman"/>
          <w:sz w:val="24"/>
          <w:szCs w:val="24"/>
        </w:rPr>
        <w:t xml:space="preserve">the </w:t>
      </w:r>
      <w:r w:rsidR="003F3597" w:rsidRPr="007E40FA">
        <w:rPr>
          <w:rFonts w:ascii="Times New Roman" w:hAnsi="Times New Roman"/>
          <w:sz w:val="24"/>
          <w:szCs w:val="24"/>
        </w:rPr>
        <w:t>protocols</w:t>
      </w:r>
      <w:r w:rsidRPr="007E40FA">
        <w:rPr>
          <w:rFonts w:ascii="Times New Roman" w:hAnsi="Times New Roman"/>
          <w:sz w:val="24"/>
          <w:szCs w:val="24"/>
        </w:rPr>
        <w:t xml:space="preserve"> described in this manuscript will be important tools for improved CTC analysis</w:t>
      </w:r>
      <w:r w:rsidR="009E30BC" w:rsidRPr="007E40FA">
        <w:rPr>
          <w:rFonts w:ascii="Times New Roman" w:hAnsi="Times New Roman"/>
          <w:sz w:val="24"/>
          <w:szCs w:val="24"/>
        </w:rPr>
        <w:t xml:space="preserve"> using the </w:t>
      </w:r>
      <w:r w:rsidR="004C0272" w:rsidRPr="007E40FA">
        <w:rPr>
          <w:rFonts w:ascii="Times New Roman" w:hAnsi="Times New Roman"/>
          <w:sz w:val="24"/>
          <w:szCs w:val="24"/>
        </w:rPr>
        <w:t>CSS</w:t>
      </w:r>
      <w:r w:rsidR="009E30BC" w:rsidRPr="007E40FA">
        <w:rPr>
          <w:rFonts w:ascii="Times New Roman" w:hAnsi="Times New Roman"/>
          <w:sz w:val="24"/>
          <w:szCs w:val="24"/>
        </w:rPr>
        <w:t>, development of novel CTC t</w:t>
      </w:r>
      <w:r w:rsidR="005E5B56" w:rsidRPr="007E40FA">
        <w:rPr>
          <w:rFonts w:ascii="Times New Roman" w:hAnsi="Times New Roman"/>
          <w:sz w:val="24"/>
          <w:szCs w:val="24"/>
        </w:rPr>
        <w:t>echn</w:t>
      </w:r>
      <w:r w:rsidR="009E30BC" w:rsidRPr="007E40FA">
        <w:rPr>
          <w:rFonts w:ascii="Times New Roman" w:hAnsi="Times New Roman"/>
          <w:sz w:val="24"/>
          <w:szCs w:val="24"/>
        </w:rPr>
        <w:t>ologies</w:t>
      </w:r>
      <w:r w:rsidRPr="007E40FA">
        <w:rPr>
          <w:rFonts w:ascii="Times New Roman" w:hAnsi="Times New Roman"/>
          <w:sz w:val="24"/>
          <w:szCs w:val="24"/>
        </w:rPr>
        <w:t xml:space="preserve">, </w:t>
      </w:r>
      <w:r w:rsidR="005E5B56" w:rsidRPr="007E40FA">
        <w:rPr>
          <w:rFonts w:ascii="Times New Roman" w:hAnsi="Times New Roman"/>
          <w:sz w:val="24"/>
          <w:szCs w:val="24"/>
        </w:rPr>
        <w:t>optimization</w:t>
      </w:r>
      <w:r w:rsidRPr="007E40FA">
        <w:rPr>
          <w:rFonts w:ascii="Times New Roman" w:hAnsi="Times New Roman"/>
          <w:sz w:val="24"/>
          <w:szCs w:val="24"/>
        </w:rPr>
        <w:t xml:space="preserve"> of user-defined markers</w:t>
      </w:r>
      <w:r w:rsidR="009E30BC" w:rsidRPr="007E40FA">
        <w:rPr>
          <w:rFonts w:ascii="Times New Roman" w:hAnsi="Times New Roman"/>
          <w:sz w:val="24"/>
          <w:szCs w:val="24"/>
        </w:rPr>
        <w:t>,</w:t>
      </w:r>
      <w:r w:rsidRPr="007E40FA">
        <w:rPr>
          <w:rFonts w:ascii="Times New Roman" w:hAnsi="Times New Roman"/>
          <w:sz w:val="24"/>
          <w:szCs w:val="24"/>
        </w:rPr>
        <w:t xml:space="preserve"> and </w:t>
      </w:r>
      <w:r w:rsidR="003F3597" w:rsidRPr="007E40FA">
        <w:rPr>
          <w:rFonts w:ascii="Times New Roman" w:hAnsi="Times New Roman"/>
          <w:sz w:val="24"/>
          <w:szCs w:val="24"/>
        </w:rPr>
        <w:t xml:space="preserve">improved </w:t>
      </w:r>
      <w:r w:rsidRPr="007E40FA">
        <w:rPr>
          <w:rFonts w:ascii="Times New Roman" w:hAnsi="Times New Roman"/>
          <w:sz w:val="24"/>
          <w:szCs w:val="24"/>
        </w:rPr>
        <w:t xml:space="preserve">understanding of CTC biology using </w:t>
      </w:r>
      <w:r w:rsidRPr="007E40FA">
        <w:rPr>
          <w:rFonts w:ascii="Times New Roman" w:hAnsi="Times New Roman"/>
          <w:i/>
          <w:sz w:val="24"/>
          <w:szCs w:val="24"/>
        </w:rPr>
        <w:t>in vivo</w:t>
      </w:r>
      <w:r w:rsidRPr="007E40FA">
        <w:rPr>
          <w:rFonts w:ascii="Times New Roman" w:hAnsi="Times New Roman"/>
          <w:sz w:val="24"/>
          <w:szCs w:val="24"/>
        </w:rPr>
        <w:t xml:space="preserve"> </w:t>
      </w:r>
      <w:r w:rsidR="003F3597" w:rsidRPr="007E40FA">
        <w:rPr>
          <w:rFonts w:ascii="Times New Roman" w:hAnsi="Times New Roman"/>
          <w:sz w:val="24"/>
          <w:szCs w:val="24"/>
        </w:rPr>
        <w:t xml:space="preserve">pre-clinical </w:t>
      </w:r>
      <w:r w:rsidRPr="007E40FA">
        <w:rPr>
          <w:rFonts w:ascii="Times New Roman" w:hAnsi="Times New Roman"/>
          <w:sz w:val="24"/>
          <w:szCs w:val="24"/>
        </w:rPr>
        <w:t>mouse model</w:t>
      </w:r>
      <w:r w:rsidR="003F3597" w:rsidRPr="007E40FA">
        <w:rPr>
          <w:rFonts w:ascii="Times New Roman" w:hAnsi="Times New Roman"/>
          <w:sz w:val="24"/>
          <w:szCs w:val="24"/>
        </w:rPr>
        <w:t>s</w:t>
      </w:r>
      <w:r w:rsidRPr="007E40FA">
        <w:rPr>
          <w:rFonts w:ascii="Times New Roman" w:hAnsi="Times New Roman"/>
          <w:sz w:val="24"/>
          <w:szCs w:val="24"/>
        </w:rPr>
        <w:t>.</w:t>
      </w:r>
      <w:r w:rsidR="003F3597" w:rsidRPr="007E40FA">
        <w:rPr>
          <w:rFonts w:ascii="Times New Roman" w:hAnsi="Times New Roman"/>
          <w:sz w:val="24"/>
          <w:szCs w:val="24"/>
        </w:rPr>
        <w:t xml:space="preserve"> Taken together, these protocols will provide a useful resource for users of this platform interested in pre-clinical and clinical research pertaining to metastasis and CTCs.</w:t>
      </w:r>
    </w:p>
    <w:p w:rsidR="00042D31" w:rsidRPr="007E40FA" w:rsidRDefault="00042D31" w:rsidP="001F0875">
      <w:pPr>
        <w:spacing w:after="0" w:line="240" w:lineRule="auto"/>
        <w:jc w:val="both"/>
        <w:rPr>
          <w:rFonts w:ascii="Times New Roman" w:hAnsi="Times New Roman"/>
          <w:sz w:val="24"/>
          <w:szCs w:val="24"/>
        </w:rPr>
      </w:pPr>
    </w:p>
    <w:p w:rsidR="00D372EA" w:rsidRPr="007E40FA" w:rsidRDefault="00D372EA" w:rsidP="001F0875">
      <w:pPr>
        <w:spacing w:after="0" w:line="240" w:lineRule="auto"/>
        <w:jc w:val="both"/>
        <w:rPr>
          <w:rFonts w:ascii="Times New Roman" w:hAnsi="Times New Roman"/>
          <w:b/>
          <w:bCs/>
          <w:sz w:val="24"/>
          <w:szCs w:val="24"/>
        </w:rPr>
      </w:pPr>
    </w:p>
    <w:p w:rsidR="00D372EA" w:rsidRPr="007E40FA" w:rsidRDefault="009E30BC" w:rsidP="001F0875">
      <w:pPr>
        <w:spacing w:after="0" w:line="240" w:lineRule="auto"/>
        <w:jc w:val="both"/>
        <w:rPr>
          <w:rFonts w:ascii="Times New Roman" w:hAnsi="Times New Roman"/>
          <w:sz w:val="24"/>
          <w:szCs w:val="24"/>
          <w:highlight w:val="yellow"/>
        </w:rPr>
      </w:pPr>
      <w:r w:rsidRPr="007E40FA">
        <w:rPr>
          <w:rFonts w:ascii="Times New Roman" w:hAnsi="Times New Roman"/>
          <w:b/>
          <w:bCs/>
          <w:sz w:val="24"/>
          <w:szCs w:val="24"/>
        </w:rPr>
        <w:t>ACKNOWLEDGMENTS:</w:t>
      </w:r>
    </w:p>
    <w:p w:rsidR="00D372EA" w:rsidRPr="007E40FA" w:rsidRDefault="00201C52" w:rsidP="001F0875">
      <w:pPr>
        <w:spacing w:after="0" w:line="240" w:lineRule="auto"/>
        <w:jc w:val="both"/>
        <w:rPr>
          <w:rFonts w:ascii="Times New Roman" w:hAnsi="Times New Roman"/>
          <w:sz w:val="24"/>
          <w:szCs w:val="24"/>
        </w:rPr>
      </w:pPr>
      <w:r w:rsidRPr="007E40FA">
        <w:rPr>
          <w:rFonts w:ascii="Times New Roman" w:hAnsi="Times New Roman"/>
          <w:sz w:val="24"/>
          <w:szCs w:val="24"/>
        </w:rPr>
        <w:t xml:space="preserve">This work was supported by grants from the Ontario Institute of Cancer Research (#08NOV230), the Canada Foundation for Innovation (#13199), </w:t>
      </w:r>
      <w:r w:rsidR="00EF5077" w:rsidRPr="007E40FA">
        <w:rPr>
          <w:rFonts w:ascii="Times New Roman" w:hAnsi="Times New Roman"/>
          <w:sz w:val="24"/>
          <w:szCs w:val="24"/>
        </w:rPr>
        <w:t xml:space="preserve">Prostate Cancer Canada, </w:t>
      </w:r>
      <w:r w:rsidR="00545AE0" w:rsidRPr="007E40FA">
        <w:rPr>
          <w:rFonts w:ascii="Times New Roman" w:hAnsi="Times New Roman"/>
          <w:sz w:val="24"/>
          <w:szCs w:val="24"/>
        </w:rPr>
        <w:t xml:space="preserve">Janssen Oncology, </w:t>
      </w:r>
      <w:r w:rsidRPr="007E40FA">
        <w:rPr>
          <w:rFonts w:ascii="Times New Roman" w:hAnsi="Times New Roman"/>
          <w:sz w:val="24"/>
          <w:szCs w:val="24"/>
        </w:rPr>
        <w:t xml:space="preserve">the London Regional Cancer Program, and donor support from John and Donna Bristol through the London Health Sciences Foundation (to A.L.A.). L.E.L. is supported by a </w:t>
      </w:r>
      <w:r w:rsidRPr="007E40FA">
        <w:rPr>
          <w:rStyle w:val="Strong"/>
          <w:rFonts w:ascii="Times New Roman" w:hAnsi="Times New Roman"/>
          <w:b w:val="0"/>
          <w:sz w:val="24"/>
          <w:szCs w:val="24"/>
          <w:shd w:val="clear" w:color="auto" w:fill="FFFFFF"/>
        </w:rPr>
        <w:t xml:space="preserve">Frederick </w:t>
      </w:r>
      <w:proofErr w:type="spellStart"/>
      <w:r w:rsidRPr="007E40FA">
        <w:rPr>
          <w:rStyle w:val="Strong"/>
          <w:rFonts w:ascii="Times New Roman" w:hAnsi="Times New Roman"/>
          <w:b w:val="0"/>
          <w:sz w:val="24"/>
          <w:szCs w:val="24"/>
          <w:shd w:val="clear" w:color="auto" w:fill="FFFFFF"/>
        </w:rPr>
        <w:t>Banting</w:t>
      </w:r>
      <w:proofErr w:type="spellEnd"/>
      <w:r w:rsidRPr="007E40FA">
        <w:rPr>
          <w:rStyle w:val="Strong"/>
          <w:rFonts w:ascii="Times New Roman" w:hAnsi="Times New Roman"/>
          <w:b w:val="0"/>
          <w:sz w:val="24"/>
          <w:szCs w:val="24"/>
          <w:shd w:val="clear" w:color="auto" w:fill="FFFFFF"/>
        </w:rPr>
        <w:t xml:space="preserve"> and Charles Best Canada Graduate Scholarship Doctoral Award</w:t>
      </w:r>
      <w:r w:rsidRPr="007E40FA">
        <w:rPr>
          <w:rFonts w:ascii="Times New Roman" w:hAnsi="Times New Roman"/>
          <w:sz w:val="24"/>
          <w:szCs w:val="24"/>
        </w:rPr>
        <w:t xml:space="preserve">. A.L.A is supported by a CIHR New </w:t>
      </w:r>
      <w:r w:rsidRPr="007E40FA">
        <w:rPr>
          <w:rFonts w:ascii="Times New Roman" w:hAnsi="Times New Roman"/>
          <w:sz w:val="24"/>
          <w:szCs w:val="24"/>
        </w:rPr>
        <w:lastRenderedPageBreak/>
        <w:t>Investigator Award and an Early Researcher Award from the Ontario Ministry of Research and Innovation.</w:t>
      </w:r>
    </w:p>
    <w:p w:rsidR="009E30BC" w:rsidRPr="007E40FA" w:rsidRDefault="009E30BC" w:rsidP="001F0875">
      <w:pPr>
        <w:spacing w:after="0" w:line="240" w:lineRule="auto"/>
        <w:jc w:val="both"/>
        <w:rPr>
          <w:rFonts w:ascii="Times New Roman" w:hAnsi="Times New Roman"/>
          <w:b/>
          <w:bCs/>
          <w:sz w:val="24"/>
          <w:szCs w:val="24"/>
        </w:rPr>
      </w:pPr>
    </w:p>
    <w:p w:rsidR="009E30BC" w:rsidRPr="007E40FA" w:rsidRDefault="009E30BC" w:rsidP="001F0875">
      <w:pPr>
        <w:spacing w:after="0" w:line="240" w:lineRule="auto"/>
        <w:jc w:val="both"/>
        <w:rPr>
          <w:rFonts w:ascii="Times New Roman" w:hAnsi="Times New Roman"/>
          <w:b/>
          <w:bCs/>
          <w:sz w:val="24"/>
          <w:szCs w:val="24"/>
        </w:rPr>
      </w:pPr>
    </w:p>
    <w:p w:rsidR="009E30BC" w:rsidRPr="007E40FA" w:rsidRDefault="009E30BC" w:rsidP="001F0875">
      <w:pPr>
        <w:spacing w:after="0" w:line="240" w:lineRule="auto"/>
        <w:jc w:val="both"/>
        <w:rPr>
          <w:rFonts w:ascii="Times New Roman" w:hAnsi="Times New Roman"/>
          <w:b/>
          <w:bCs/>
          <w:sz w:val="24"/>
          <w:szCs w:val="24"/>
        </w:rPr>
      </w:pPr>
      <w:r w:rsidRPr="007E40FA">
        <w:rPr>
          <w:rFonts w:ascii="Times New Roman" w:hAnsi="Times New Roman"/>
          <w:b/>
          <w:bCs/>
          <w:sz w:val="24"/>
          <w:szCs w:val="24"/>
        </w:rPr>
        <w:t>DISCLOSURES:</w:t>
      </w:r>
    </w:p>
    <w:p w:rsidR="00D372EA" w:rsidRPr="007E40FA" w:rsidRDefault="00545AE0" w:rsidP="001F0875">
      <w:pPr>
        <w:spacing w:after="0" w:line="240" w:lineRule="auto"/>
        <w:jc w:val="both"/>
        <w:rPr>
          <w:rFonts w:ascii="Times New Roman" w:hAnsi="Times New Roman"/>
          <w:bCs/>
          <w:sz w:val="24"/>
          <w:szCs w:val="24"/>
        </w:rPr>
      </w:pPr>
      <w:r w:rsidRPr="007E40FA">
        <w:rPr>
          <w:rFonts w:ascii="Times New Roman" w:hAnsi="Times New Roman"/>
          <w:bCs/>
          <w:sz w:val="24"/>
          <w:szCs w:val="24"/>
        </w:rPr>
        <w:t>The author (A.L</w:t>
      </w:r>
      <w:r w:rsidR="00D372EA" w:rsidRPr="007E40FA">
        <w:rPr>
          <w:rFonts w:ascii="Times New Roman" w:hAnsi="Times New Roman"/>
          <w:bCs/>
          <w:sz w:val="24"/>
          <w:szCs w:val="24"/>
        </w:rPr>
        <w:t>.</w:t>
      </w:r>
      <w:r w:rsidRPr="007E40FA">
        <w:rPr>
          <w:rFonts w:ascii="Times New Roman" w:hAnsi="Times New Roman"/>
          <w:bCs/>
          <w:sz w:val="24"/>
          <w:szCs w:val="24"/>
        </w:rPr>
        <w:t xml:space="preserve">A.) received funding that was provided by Janssen Oncology, whose parent company Johnson &amp; Johnson also </w:t>
      </w:r>
      <w:proofErr w:type="gramStart"/>
      <w:r w:rsidRPr="007E40FA">
        <w:rPr>
          <w:rFonts w:ascii="Times New Roman" w:hAnsi="Times New Roman"/>
          <w:bCs/>
          <w:sz w:val="24"/>
          <w:szCs w:val="24"/>
        </w:rPr>
        <w:t xml:space="preserve">owns </w:t>
      </w:r>
      <w:r w:rsidR="00F81022" w:rsidRPr="007E40FA">
        <w:rPr>
          <w:rFonts w:ascii="Times New Roman" w:hAnsi="Times New Roman"/>
          <w:bCs/>
          <w:sz w:val="24"/>
          <w:szCs w:val="24"/>
        </w:rPr>
        <w:t xml:space="preserve"> Janssen</w:t>
      </w:r>
      <w:proofErr w:type="gramEnd"/>
      <w:r w:rsidR="00F81022" w:rsidRPr="007E40FA">
        <w:rPr>
          <w:rFonts w:ascii="Times New Roman" w:hAnsi="Times New Roman"/>
          <w:bCs/>
          <w:sz w:val="24"/>
          <w:szCs w:val="24"/>
        </w:rPr>
        <w:t xml:space="preserve"> Diagnostics LLC, </w:t>
      </w:r>
      <w:r w:rsidRPr="007E40FA">
        <w:rPr>
          <w:rFonts w:ascii="Times New Roman" w:hAnsi="Times New Roman"/>
          <w:bCs/>
          <w:sz w:val="24"/>
          <w:szCs w:val="24"/>
        </w:rPr>
        <w:t>which produces reagents and instruments used in this article.</w:t>
      </w:r>
    </w:p>
    <w:p w:rsidR="009E30BC" w:rsidRPr="007E40FA" w:rsidRDefault="009E30BC" w:rsidP="001F0875">
      <w:pPr>
        <w:spacing w:after="0" w:line="240" w:lineRule="auto"/>
        <w:jc w:val="both"/>
        <w:rPr>
          <w:rFonts w:ascii="Times New Roman" w:hAnsi="Times New Roman"/>
          <w:b/>
          <w:bCs/>
          <w:sz w:val="24"/>
          <w:szCs w:val="24"/>
        </w:rPr>
      </w:pPr>
    </w:p>
    <w:p w:rsidR="00D372EA" w:rsidRPr="007E40FA" w:rsidRDefault="00D372EA" w:rsidP="001F0875">
      <w:pPr>
        <w:spacing w:after="0" w:line="240" w:lineRule="auto"/>
        <w:jc w:val="both"/>
        <w:rPr>
          <w:rFonts w:ascii="Times New Roman" w:hAnsi="Times New Roman"/>
          <w:b/>
          <w:bCs/>
          <w:sz w:val="24"/>
          <w:szCs w:val="24"/>
        </w:rPr>
      </w:pPr>
    </w:p>
    <w:p w:rsidR="00042D31" w:rsidRPr="007E40FA" w:rsidRDefault="00042D31" w:rsidP="001F0875">
      <w:pPr>
        <w:spacing w:after="0" w:line="240" w:lineRule="auto"/>
        <w:jc w:val="both"/>
        <w:rPr>
          <w:rFonts w:ascii="Times New Roman" w:hAnsi="Times New Roman"/>
          <w:sz w:val="24"/>
          <w:szCs w:val="24"/>
        </w:rPr>
      </w:pPr>
      <w:r w:rsidRPr="007E40FA">
        <w:rPr>
          <w:rFonts w:ascii="Times New Roman" w:hAnsi="Times New Roman"/>
          <w:b/>
          <w:bCs/>
          <w:sz w:val="24"/>
          <w:szCs w:val="24"/>
        </w:rPr>
        <w:t>REFERENCES:</w:t>
      </w:r>
    </w:p>
    <w:p w:rsidR="007F0560" w:rsidRPr="007E40FA" w:rsidRDefault="0036708D">
      <w:pPr>
        <w:pStyle w:val="NormalWeb"/>
        <w:ind w:left="640" w:hanging="640"/>
        <w:divId w:val="941186404"/>
        <w:rPr>
          <w:noProof/>
        </w:rPr>
      </w:pPr>
      <w:r w:rsidRPr="007E40FA">
        <w:rPr>
          <w:b/>
        </w:rPr>
        <w:fldChar w:fldCharType="begin" w:fldLock="1"/>
      </w:r>
      <w:r w:rsidR="00042D31" w:rsidRPr="007E40FA">
        <w:rPr>
          <w:b/>
        </w:rPr>
        <w:instrText xml:space="preserve">ADDIN Mendeley Bibliography CSL_BIBLIOGRAPHY </w:instrText>
      </w:r>
      <w:r w:rsidRPr="007E40FA">
        <w:rPr>
          <w:b/>
        </w:rPr>
        <w:fldChar w:fldCharType="separate"/>
      </w:r>
      <w:r w:rsidR="007F0560" w:rsidRPr="007E40FA">
        <w:rPr>
          <w:noProof/>
        </w:rPr>
        <w:t>1.</w:t>
      </w:r>
      <w:r w:rsidR="007F0560" w:rsidRPr="007E40FA">
        <w:rPr>
          <w:noProof/>
        </w:rPr>
        <w:tab/>
        <w:t xml:space="preserve">Siegel, R., Naishadham, D. &amp; Jemal, A. Cancer statistics, 2013. </w:t>
      </w:r>
      <w:r w:rsidR="007F0560" w:rsidRPr="007E40FA">
        <w:rPr>
          <w:i/>
          <w:iCs/>
          <w:noProof/>
        </w:rPr>
        <w:t>CA: a cancer journal for clinicians</w:t>
      </w:r>
      <w:r w:rsidR="007F0560" w:rsidRPr="007E40FA">
        <w:rPr>
          <w:noProof/>
        </w:rPr>
        <w:t xml:space="preserve"> </w:t>
      </w:r>
      <w:r w:rsidR="007F0560" w:rsidRPr="007E40FA">
        <w:rPr>
          <w:b/>
          <w:bCs/>
          <w:noProof/>
        </w:rPr>
        <w:t>63</w:t>
      </w:r>
      <w:r w:rsidR="007F0560" w:rsidRPr="007E40FA">
        <w:rPr>
          <w:noProof/>
        </w:rPr>
        <w:t xml:space="preserve"> (1), 11–30, doi:10.3322/caac.21166 (2013).</w:t>
      </w:r>
    </w:p>
    <w:p w:rsidR="007F0560" w:rsidRPr="007E40FA" w:rsidRDefault="007F0560">
      <w:pPr>
        <w:pStyle w:val="NormalWeb"/>
        <w:ind w:left="640" w:hanging="640"/>
        <w:divId w:val="941186404"/>
        <w:rPr>
          <w:noProof/>
        </w:rPr>
      </w:pPr>
      <w:r w:rsidRPr="007E40FA">
        <w:rPr>
          <w:noProof/>
        </w:rPr>
        <w:t>2.</w:t>
      </w:r>
      <w:r w:rsidRPr="007E40FA">
        <w:rPr>
          <w:noProof/>
        </w:rPr>
        <w:tab/>
        <w:t xml:space="preserve">Chambers, A. F., Groom, A. C. &amp; MacDonald, I. C. Dissemination and growth of cancer cells in metastatic sites. </w:t>
      </w:r>
      <w:r w:rsidRPr="007E40FA">
        <w:rPr>
          <w:i/>
          <w:iCs/>
          <w:noProof/>
        </w:rPr>
        <w:t>Nature reviews. Cancer</w:t>
      </w:r>
      <w:r w:rsidRPr="007E40FA">
        <w:rPr>
          <w:noProof/>
        </w:rPr>
        <w:t xml:space="preserve"> </w:t>
      </w:r>
      <w:r w:rsidRPr="007E40FA">
        <w:rPr>
          <w:b/>
          <w:bCs/>
          <w:noProof/>
        </w:rPr>
        <w:t>2</w:t>
      </w:r>
      <w:r w:rsidRPr="007E40FA">
        <w:rPr>
          <w:noProof/>
        </w:rPr>
        <w:t xml:space="preserve"> (8), 563–72 (2002).</w:t>
      </w:r>
    </w:p>
    <w:p w:rsidR="007F0560" w:rsidRPr="007E40FA" w:rsidRDefault="007F0560">
      <w:pPr>
        <w:pStyle w:val="NormalWeb"/>
        <w:ind w:left="640" w:hanging="640"/>
        <w:divId w:val="941186404"/>
        <w:rPr>
          <w:noProof/>
        </w:rPr>
      </w:pPr>
      <w:r w:rsidRPr="007E40FA">
        <w:rPr>
          <w:noProof/>
        </w:rPr>
        <w:t>3.</w:t>
      </w:r>
      <w:r w:rsidRPr="007E40FA">
        <w:rPr>
          <w:noProof/>
        </w:rPr>
        <w:tab/>
        <w:t xml:space="preserve">Pantel, K. &amp; Brakenhoff, R. H. Dissecting the metastatic cascade. </w:t>
      </w:r>
      <w:r w:rsidRPr="007E40FA">
        <w:rPr>
          <w:i/>
          <w:iCs/>
          <w:noProof/>
        </w:rPr>
        <w:t>Nature reviews. Cancer</w:t>
      </w:r>
      <w:r w:rsidRPr="007E40FA">
        <w:rPr>
          <w:noProof/>
        </w:rPr>
        <w:t xml:space="preserve"> </w:t>
      </w:r>
      <w:r w:rsidRPr="007E40FA">
        <w:rPr>
          <w:b/>
          <w:bCs/>
          <w:noProof/>
        </w:rPr>
        <w:t>4</w:t>
      </w:r>
      <w:r w:rsidRPr="007E40FA">
        <w:rPr>
          <w:noProof/>
        </w:rPr>
        <w:t xml:space="preserve"> (6), 448–56, doi:10.1038/nrc1370 (2004).</w:t>
      </w:r>
    </w:p>
    <w:p w:rsidR="007F0560" w:rsidRPr="007E40FA" w:rsidRDefault="007F0560">
      <w:pPr>
        <w:pStyle w:val="NormalWeb"/>
        <w:ind w:left="640" w:hanging="640"/>
        <w:divId w:val="941186404"/>
        <w:rPr>
          <w:noProof/>
        </w:rPr>
      </w:pPr>
      <w:r w:rsidRPr="007E40FA">
        <w:rPr>
          <w:noProof/>
        </w:rPr>
        <w:t>4.</w:t>
      </w:r>
      <w:r w:rsidRPr="007E40FA">
        <w:rPr>
          <w:noProof/>
        </w:rPr>
        <w:tab/>
        <w:t xml:space="preserve">Cristofanilli, M., Budd, G. T., </w:t>
      </w:r>
      <w:r w:rsidRPr="007E40FA">
        <w:rPr>
          <w:i/>
          <w:iCs/>
          <w:noProof/>
        </w:rPr>
        <w:t>et al.</w:t>
      </w:r>
      <w:r w:rsidRPr="007E40FA">
        <w:rPr>
          <w:noProof/>
        </w:rPr>
        <w:t xml:space="preserve"> Circulating tumor cells, disease progression, and survival in metastatic breast cancer. </w:t>
      </w:r>
      <w:r w:rsidRPr="007E40FA">
        <w:rPr>
          <w:i/>
          <w:iCs/>
          <w:noProof/>
        </w:rPr>
        <w:t>The New England journal of medicine</w:t>
      </w:r>
      <w:r w:rsidRPr="007E40FA">
        <w:rPr>
          <w:noProof/>
        </w:rPr>
        <w:t xml:space="preserve"> </w:t>
      </w:r>
      <w:r w:rsidRPr="007E40FA">
        <w:rPr>
          <w:b/>
          <w:bCs/>
          <w:noProof/>
        </w:rPr>
        <w:t>351</w:t>
      </w:r>
      <w:r w:rsidRPr="007E40FA">
        <w:rPr>
          <w:noProof/>
        </w:rPr>
        <w:t xml:space="preserve"> (8), 781–91 (2004).</w:t>
      </w:r>
    </w:p>
    <w:p w:rsidR="007F0560" w:rsidRPr="007E40FA" w:rsidRDefault="007F0560">
      <w:pPr>
        <w:pStyle w:val="NormalWeb"/>
        <w:ind w:left="640" w:hanging="640"/>
        <w:divId w:val="941186404"/>
        <w:rPr>
          <w:noProof/>
        </w:rPr>
      </w:pPr>
      <w:r w:rsidRPr="007E40FA">
        <w:rPr>
          <w:noProof/>
        </w:rPr>
        <w:t>5.</w:t>
      </w:r>
      <w:r w:rsidRPr="007E40FA">
        <w:rPr>
          <w:noProof/>
        </w:rPr>
        <w:tab/>
        <w:t xml:space="preserve">De Bono, J. S., Scher, H. I., </w:t>
      </w:r>
      <w:r w:rsidRPr="007E40FA">
        <w:rPr>
          <w:i/>
          <w:iCs/>
          <w:noProof/>
        </w:rPr>
        <w:t>et al.</w:t>
      </w:r>
      <w:r w:rsidRPr="007E40FA">
        <w:rPr>
          <w:noProof/>
        </w:rPr>
        <w:t xml:space="preserve"> Circulating tumor cells predict survival benefit from treatment in metastatic castration-resistant prostate cancer. </w:t>
      </w:r>
      <w:r w:rsidRPr="007E40FA">
        <w:rPr>
          <w:i/>
          <w:iCs/>
          <w:noProof/>
        </w:rPr>
        <w:t>Clinical cancer research : an official journal of the American Association for Cancer Research</w:t>
      </w:r>
      <w:r w:rsidRPr="007E40FA">
        <w:rPr>
          <w:noProof/>
        </w:rPr>
        <w:t xml:space="preserve"> </w:t>
      </w:r>
      <w:r w:rsidRPr="007E40FA">
        <w:rPr>
          <w:b/>
          <w:bCs/>
          <w:noProof/>
        </w:rPr>
        <w:t>14</w:t>
      </w:r>
      <w:r w:rsidRPr="007E40FA">
        <w:rPr>
          <w:noProof/>
        </w:rPr>
        <w:t xml:space="preserve"> (19), 6302–9, doi:10.1158/1078-0432.CCR-08-0872 (2008).</w:t>
      </w:r>
    </w:p>
    <w:p w:rsidR="007F0560" w:rsidRPr="007E40FA" w:rsidRDefault="007F0560">
      <w:pPr>
        <w:pStyle w:val="NormalWeb"/>
        <w:ind w:left="640" w:hanging="640"/>
        <w:divId w:val="941186404"/>
        <w:rPr>
          <w:noProof/>
        </w:rPr>
      </w:pPr>
      <w:r w:rsidRPr="007E40FA">
        <w:rPr>
          <w:noProof/>
        </w:rPr>
        <w:t>6.</w:t>
      </w:r>
      <w:r w:rsidRPr="007E40FA">
        <w:rPr>
          <w:noProof/>
        </w:rPr>
        <w:tab/>
        <w:t xml:space="preserve">Cohen, S. J., Punt, C. J. a, </w:t>
      </w:r>
      <w:r w:rsidRPr="007E40FA">
        <w:rPr>
          <w:i/>
          <w:iCs/>
          <w:noProof/>
        </w:rPr>
        <w:t>et al.</w:t>
      </w:r>
      <w:r w:rsidRPr="007E40FA">
        <w:rPr>
          <w:noProof/>
        </w:rPr>
        <w:t xml:space="preserve"> Prognostic significance of circulating tumor cells in patients with metastatic colorectal cancer. </w:t>
      </w:r>
      <w:r w:rsidRPr="007E40FA">
        <w:rPr>
          <w:i/>
          <w:iCs/>
          <w:noProof/>
        </w:rPr>
        <w:t>Annals of oncology : official journal of the European Society for Medical Oncology / ESMO</w:t>
      </w:r>
      <w:r w:rsidRPr="007E40FA">
        <w:rPr>
          <w:noProof/>
        </w:rPr>
        <w:t xml:space="preserve"> </w:t>
      </w:r>
      <w:r w:rsidRPr="007E40FA">
        <w:rPr>
          <w:b/>
          <w:bCs/>
          <w:noProof/>
        </w:rPr>
        <w:t>20</w:t>
      </w:r>
      <w:r w:rsidRPr="007E40FA">
        <w:rPr>
          <w:noProof/>
        </w:rPr>
        <w:t xml:space="preserve"> (7), 1223–9, doi:10.1093/annonc/mdn786 (2009).</w:t>
      </w:r>
    </w:p>
    <w:p w:rsidR="007F0560" w:rsidRPr="007E40FA" w:rsidRDefault="007F0560">
      <w:pPr>
        <w:pStyle w:val="NormalWeb"/>
        <w:ind w:left="640" w:hanging="640"/>
        <w:divId w:val="941186404"/>
        <w:rPr>
          <w:noProof/>
        </w:rPr>
      </w:pPr>
      <w:r w:rsidRPr="007E40FA">
        <w:rPr>
          <w:noProof/>
        </w:rPr>
        <w:t>7.</w:t>
      </w:r>
      <w:r w:rsidRPr="007E40FA">
        <w:rPr>
          <w:noProof/>
        </w:rPr>
        <w:tab/>
        <w:t xml:space="preserve">Hayes, D. F., Cristofanilli, M., </w:t>
      </w:r>
      <w:r w:rsidRPr="007E40FA">
        <w:rPr>
          <w:i/>
          <w:iCs/>
          <w:noProof/>
        </w:rPr>
        <w:t>et al.</w:t>
      </w:r>
      <w:r w:rsidRPr="007E40FA">
        <w:rPr>
          <w:noProof/>
        </w:rPr>
        <w:t xml:space="preserve"> Circulating tumor cells at each follow-up time point during therapy of metastatic breast cancer patients predict progression-free and overall survival. </w:t>
      </w:r>
      <w:r w:rsidRPr="007E40FA">
        <w:rPr>
          <w:i/>
          <w:iCs/>
          <w:noProof/>
        </w:rPr>
        <w:t>Clinical cancer research : an official journal of the American Association for Cancer Research</w:t>
      </w:r>
      <w:r w:rsidRPr="007E40FA">
        <w:rPr>
          <w:noProof/>
        </w:rPr>
        <w:t xml:space="preserve"> </w:t>
      </w:r>
      <w:r w:rsidRPr="007E40FA">
        <w:rPr>
          <w:b/>
          <w:bCs/>
          <w:noProof/>
        </w:rPr>
        <w:t>12</w:t>
      </w:r>
      <w:r w:rsidRPr="007E40FA">
        <w:rPr>
          <w:noProof/>
        </w:rPr>
        <w:t xml:space="preserve"> (14 Pt 1), 4218–24, doi:10.1158/1078-0432.CCR-05-2821 (2006).</w:t>
      </w:r>
    </w:p>
    <w:p w:rsidR="007F0560" w:rsidRPr="007E40FA" w:rsidRDefault="007F0560">
      <w:pPr>
        <w:pStyle w:val="NormalWeb"/>
        <w:ind w:left="640" w:hanging="640"/>
        <w:divId w:val="941186404"/>
        <w:rPr>
          <w:noProof/>
        </w:rPr>
      </w:pPr>
      <w:r w:rsidRPr="007E40FA">
        <w:rPr>
          <w:noProof/>
        </w:rPr>
        <w:t>8.</w:t>
      </w:r>
      <w:r w:rsidRPr="007E40FA">
        <w:rPr>
          <w:noProof/>
        </w:rPr>
        <w:tab/>
        <w:t xml:space="preserve">Budd, G. T., Cristofanilli, M., </w:t>
      </w:r>
      <w:r w:rsidRPr="007E40FA">
        <w:rPr>
          <w:i/>
          <w:iCs/>
          <w:noProof/>
        </w:rPr>
        <w:t>et al.</w:t>
      </w:r>
      <w:r w:rsidRPr="007E40FA">
        <w:rPr>
          <w:noProof/>
        </w:rPr>
        <w:t xml:space="preserve"> Circulating tumor cells versus imaging--predicting overall survival in metastatic breast cancer. </w:t>
      </w:r>
      <w:r w:rsidRPr="007E40FA">
        <w:rPr>
          <w:i/>
          <w:iCs/>
          <w:noProof/>
        </w:rPr>
        <w:t>Clinical cancer research : an official journal of the American Association for Cancer Research</w:t>
      </w:r>
      <w:r w:rsidRPr="007E40FA">
        <w:rPr>
          <w:noProof/>
        </w:rPr>
        <w:t xml:space="preserve"> </w:t>
      </w:r>
      <w:r w:rsidRPr="007E40FA">
        <w:rPr>
          <w:b/>
          <w:bCs/>
          <w:noProof/>
        </w:rPr>
        <w:t>12</w:t>
      </w:r>
      <w:r w:rsidRPr="007E40FA">
        <w:rPr>
          <w:noProof/>
        </w:rPr>
        <w:t xml:space="preserve"> (21), 6403–9, doi:10.1158/1078-0432.CCR-05-1769 (2006).</w:t>
      </w:r>
    </w:p>
    <w:p w:rsidR="007F0560" w:rsidRPr="007E40FA" w:rsidRDefault="007F0560">
      <w:pPr>
        <w:pStyle w:val="NormalWeb"/>
        <w:ind w:left="640" w:hanging="640"/>
        <w:divId w:val="941186404"/>
        <w:rPr>
          <w:noProof/>
        </w:rPr>
      </w:pPr>
      <w:r w:rsidRPr="007E40FA">
        <w:rPr>
          <w:noProof/>
        </w:rPr>
        <w:lastRenderedPageBreak/>
        <w:t>9.</w:t>
      </w:r>
      <w:r w:rsidRPr="007E40FA">
        <w:rPr>
          <w:noProof/>
        </w:rPr>
        <w:tab/>
        <w:t xml:space="preserve">Olmos, D., Arkenau, H.-T., </w:t>
      </w:r>
      <w:r w:rsidRPr="007E40FA">
        <w:rPr>
          <w:i/>
          <w:iCs/>
          <w:noProof/>
        </w:rPr>
        <w:t>et al.</w:t>
      </w:r>
      <w:r w:rsidRPr="007E40FA">
        <w:rPr>
          <w:noProof/>
        </w:rPr>
        <w:t xml:space="preserve"> Circulating tumour cell (CTC) counts as intermediate end points in castration-resistant prostate cancer (CRPC): a single-centre experience. </w:t>
      </w:r>
      <w:r w:rsidRPr="007E40FA">
        <w:rPr>
          <w:i/>
          <w:iCs/>
          <w:noProof/>
        </w:rPr>
        <w:t>Annals of oncology : official journal of the European Society for Medical Oncology / ESMO</w:t>
      </w:r>
      <w:r w:rsidRPr="007E40FA">
        <w:rPr>
          <w:noProof/>
        </w:rPr>
        <w:t xml:space="preserve"> </w:t>
      </w:r>
      <w:r w:rsidRPr="007E40FA">
        <w:rPr>
          <w:b/>
          <w:bCs/>
          <w:noProof/>
        </w:rPr>
        <w:t>20</w:t>
      </w:r>
      <w:r w:rsidRPr="007E40FA">
        <w:rPr>
          <w:noProof/>
        </w:rPr>
        <w:t xml:space="preserve"> (1), 27–33, doi:10.1093/annonc/mdn544 (2009).</w:t>
      </w:r>
    </w:p>
    <w:p w:rsidR="007F0560" w:rsidRPr="007E40FA" w:rsidRDefault="007F0560">
      <w:pPr>
        <w:pStyle w:val="NormalWeb"/>
        <w:ind w:left="640" w:hanging="640"/>
        <w:divId w:val="941186404"/>
        <w:rPr>
          <w:noProof/>
        </w:rPr>
      </w:pPr>
      <w:r w:rsidRPr="007E40FA">
        <w:rPr>
          <w:noProof/>
        </w:rPr>
        <w:t>10.</w:t>
      </w:r>
      <w:r w:rsidRPr="007E40FA">
        <w:rPr>
          <w:noProof/>
        </w:rPr>
        <w:tab/>
        <w:t xml:space="preserve">De Bono, J. S., Scher, H. I., </w:t>
      </w:r>
      <w:r w:rsidRPr="007E40FA">
        <w:rPr>
          <w:i/>
          <w:iCs/>
          <w:noProof/>
        </w:rPr>
        <w:t>et al.</w:t>
      </w:r>
      <w:r w:rsidRPr="007E40FA">
        <w:rPr>
          <w:noProof/>
        </w:rPr>
        <w:t xml:space="preserve"> Circulating tumor cells predict survival benefit from treatment in metastatic castration-resistant prostate cancer. </w:t>
      </w:r>
      <w:r w:rsidRPr="007E40FA">
        <w:rPr>
          <w:i/>
          <w:iCs/>
          <w:noProof/>
        </w:rPr>
        <w:t>Clinical cancer research : an official journal of the American Association for Cancer Research</w:t>
      </w:r>
      <w:r w:rsidRPr="007E40FA">
        <w:rPr>
          <w:noProof/>
        </w:rPr>
        <w:t xml:space="preserve"> </w:t>
      </w:r>
      <w:r w:rsidRPr="007E40FA">
        <w:rPr>
          <w:b/>
          <w:bCs/>
          <w:noProof/>
        </w:rPr>
        <w:t>14</w:t>
      </w:r>
      <w:r w:rsidRPr="007E40FA">
        <w:rPr>
          <w:noProof/>
        </w:rPr>
        <w:t xml:space="preserve"> (19), 6302–9 (2008).</w:t>
      </w:r>
    </w:p>
    <w:p w:rsidR="007F0560" w:rsidRPr="007E40FA" w:rsidRDefault="007F0560">
      <w:pPr>
        <w:pStyle w:val="NormalWeb"/>
        <w:ind w:left="640" w:hanging="640"/>
        <w:divId w:val="941186404"/>
        <w:rPr>
          <w:noProof/>
        </w:rPr>
      </w:pPr>
      <w:r w:rsidRPr="007E40FA">
        <w:rPr>
          <w:noProof/>
        </w:rPr>
        <w:t>11.</w:t>
      </w:r>
      <w:r w:rsidRPr="007E40FA">
        <w:rPr>
          <w:noProof/>
        </w:rPr>
        <w:tab/>
        <w:t xml:space="preserve">Allan, A. L. &amp; Keeney, M. Circulating tumor cell analysis: technical and statistical considerations for application to the clinic. </w:t>
      </w:r>
      <w:r w:rsidRPr="007E40FA">
        <w:rPr>
          <w:i/>
          <w:iCs/>
          <w:noProof/>
        </w:rPr>
        <w:t>Journal of oncology</w:t>
      </w:r>
      <w:r w:rsidRPr="007E40FA">
        <w:rPr>
          <w:noProof/>
        </w:rPr>
        <w:t xml:space="preserve"> </w:t>
      </w:r>
      <w:r w:rsidRPr="007E40FA">
        <w:rPr>
          <w:b/>
          <w:bCs/>
          <w:noProof/>
        </w:rPr>
        <w:t>2010</w:t>
      </w:r>
      <w:r w:rsidRPr="007E40FA">
        <w:rPr>
          <w:noProof/>
        </w:rPr>
        <w:t>, 426218 (2010).</w:t>
      </w:r>
    </w:p>
    <w:p w:rsidR="007F0560" w:rsidRPr="007E40FA" w:rsidRDefault="007F0560">
      <w:pPr>
        <w:pStyle w:val="NormalWeb"/>
        <w:ind w:left="640" w:hanging="640"/>
        <w:divId w:val="941186404"/>
        <w:rPr>
          <w:noProof/>
        </w:rPr>
      </w:pPr>
      <w:r w:rsidRPr="007E40FA">
        <w:rPr>
          <w:noProof/>
        </w:rPr>
        <w:t>12.</w:t>
      </w:r>
      <w:r w:rsidRPr="007E40FA">
        <w:rPr>
          <w:noProof/>
        </w:rPr>
        <w:tab/>
        <w:t xml:space="preserve">Lowes, L. E., Goodale, D., Keeney, M. &amp; Allan, A. L. Image cytometry analysis of circulating tumor cells. </w:t>
      </w:r>
      <w:r w:rsidRPr="007E40FA">
        <w:rPr>
          <w:i/>
          <w:iCs/>
          <w:noProof/>
        </w:rPr>
        <w:t>Methods in cell biology</w:t>
      </w:r>
      <w:r w:rsidRPr="007E40FA">
        <w:rPr>
          <w:noProof/>
        </w:rPr>
        <w:t xml:space="preserve"> </w:t>
      </w:r>
      <w:r w:rsidRPr="007E40FA">
        <w:rPr>
          <w:b/>
          <w:bCs/>
          <w:noProof/>
        </w:rPr>
        <w:t>102</w:t>
      </w:r>
      <w:r w:rsidRPr="007E40FA">
        <w:rPr>
          <w:noProof/>
        </w:rPr>
        <w:t>, 261–90, doi:10.1016/B978-0-12-374912-3.00010-9 (2011).</w:t>
      </w:r>
    </w:p>
    <w:p w:rsidR="007F0560" w:rsidRPr="007E40FA" w:rsidRDefault="007F0560">
      <w:pPr>
        <w:pStyle w:val="NormalWeb"/>
        <w:ind w:left="640" w:hanging="640"/>
        <w:divId w:val="941186404"/>
        <w:rPr>
          <w:noProof/>
        </w:rPr>
      </w:pPr>
      <w:r w:rsidRPr="007E40FA">
        <w:rPr>
          <w:noProof/>
        </w:rPr>
        <w:t>13.</w:t>
      </w:r>
      <w:r w:rsidRPr="007E40FA">
        <w:rPr>
          <w:noProof/>
        </w:rPr>
        <w:tab/>
        <w:t xml:space="preserve">Lianidou, E. S. &amp; Markou, A. Circulating tumor cells in breast cancer: detection systems, molecular characterization, and future challenges. </w:t>
      </w:r>
      <w:r w:rsidRPr="007E40FA">
        <w:rPr>
          <w:i/>
          <w:iCs/>
          <w:noProof/>
        </w:rPr>
        <w:t>Clinical chemistry</w:t>
      </w:r>
      <w:r w:rsidRPr="007E40FA">
        <w:rPr>
          <w:noProof/>
        </w:rPr>
        <w:t xml:space="preserve"> </w:t>
      </w:r>
      <w:r w:rsidRPr="007E40FA">
        <w:rPr>
          <w:b/>
          <w:bCs/>
          <w:noProof/>
        </w:rPr>
        <w:t>57</w:t>
      </w:r>
      <w:r w:rsidRPr="007E40FA">
        <w:rPr>
          <w:noProof/>
        </w:rPr>
        <w:t xml:space="preserve"> (9), 1242–55, doi:10.1373/clinchem.2011.165068 (2011).</w:t>
      </w:r>
    </w:p>
    <w:p w:rsidR="007F0560" w:rsidRPr="007E40FA" w:rsidRDefault="007F0560">
      <w:pPr>
        <w:pStyle w:val="NormalWeb"/>
        <w:ind w:left="640" w:hanging="640"/>
        <w:divId w:val="941186404"/>
        <w:rPr>
          <w:noProof/>
        </w:rPr>
      </w:pPr>
      <w:r w:rsidRPr="007E40FA">
        <w:rPr>
          <w:noProof/>
        </w:rPr>
        <w:t>14.</w:t>
      </w:r>
      <w:r w:rsidRPr="007E40FA">
        <w:rPr>
          <w:noProof/>
        </w:rPr>
        <w:tab/>
        <w:t xml:space="preserve">Alix-Panabières, C. &amp; Pantel, K. Circulating tumor cells: liquid biopsy of cancer. </w:t>
      </w:r>
      <w:r w:rsidRPr="007E40FA">
        <w:rPr>
          <w:i/>
          <w:iCs/>
          <w:noProof/>
        </w:rPr>
        <w:t>Clinical chemistry</w:t>
      </w:r>
      <w:r w:rsidRPr="007E40FA">
        <w:rPr>
          <w:noProof/>
        </w:rPr>
        <w:t xml:space="preserve"> </w:t>
      </w:r>
      <w:r w:rsidRPr="007E40FA">
        <w:rPr>
          <w:b/>
          <w:bCs/>
          <w:noProof/>
        </w:rPr>
        <w:t>59</w:t>
      </w:r>
      <w:r w:rsidRPr="007E40FA">
        <w:rPr>
          <w:noProof/>
        </w:rPr>
        <w:t xml:space="preserve"> (1), 110–8, doi:10.1373/clinchem.2012.194258 (2013).</w:t>
      </w:r>
    </w:p>
    <w:p w:rsidR="007F0560" w:rsidRPr="007E40FA" w:rsidRDefault="007F0560">
      <w:pPr>
        <w:pStyle w:val="NormalWeb"/>
        <w:ind w:left="640" w:hanging="640"/>
        <w:divId w:val="941186404"/>
        <w:rPr>
          <w:noProof/>
        </w:rPr>
      </w:pPr>
      <w:r w:rsidRPr="007E40FA">
        <w:rPr>
          <w:noProof/>
        </w:rPr>
        <w:t>15.</w:t>
      </w:r>
      <w:r w:rsidRPr="007E40FA">
        <w:rPr>
          <w:noProof/>
        </w:rPr>
        <w:tab/>
        <w:t xml:space="preserve">Parkinson, D. R., Dracopoli, N., </w:t>
      </w:r>
      <w:r w:rsidRPr="007E40FA">
        <w:rPr>
          <w:i/>
          <w:iCs/>
          <w:noProof/>
        </w:rPr>
        <w:t>et al.</w:t>
      </w:r>
      <w:r w:rsidRPr="007E40FA">
        <w:rPr>
          <w:noProof/>
        </w:rPr>
        <w:t xml:space="preserve"> Considerations in the development of circulating tumor cell technology for clinical use. </w:t>
      </w:r>
      <w:r w:rsidRPr="007E40FA">
        <w:rPr>
          <w:i/>
          <w:iCs/>
          <w:noProof/>
        </w:rPr>
        <w:t>Journal of translational medicine</w:t>
      </w:r>
      <w:r w:rsidRPr="007E40FA">
        <w:rPr>
          <w:noProof/>
        </w:rPr>
        <w:t xml:space="preserve"> </w:t>
      </w:r>
      <w:r w:rsidRPr="007E40FA">
        <w:rPr>
          <w:b/>
          <w:bCs/>
          <w:noProof/>
        </w:rPr>
        <w:t>10</w:t>
      </w:r>
      <w:r w:rsidRPr="007E40FA">
        <w:rPr>
          <w:noProof/>
        </w:rPr>
        <w:t>, 138, doi:10.1186/1479-5876-10-138 (2012).</w:t>
      </w:r>
    </w:p>
    <w:p w:rsidR="007F0560" w:rsidRPr="007E40FA" w:rsidRDefault="007F0560">
      <w:pPr>
        <w:pStyle w:val="NormalWeb"/>
        <w:ind w:left="640" w:hanging="640"/>
        <w:divId w:val="941186404"/>
        <w:rPr>
          <w:noProof/>
        </w:rPr>
      </w:pPr>
      <w:r w:rsidRPr="007E40FA">
        <w:rPr>
          <w:noProof/>
        </w:rPr>
        <w:t>16.</w:t>
      </w:r>
      <w:r w:rsidRPr="007E40FA">
        <w:rPr>
          <w:noProof/>
        </w:rPr>
        <w:tab/>
        <w:t xml:space="preserve">Lowes, L. E., Hedley, B. D., Keeney, M. &amp; Allan, A. L. User-defined protein marker assay development for characterization of circulating tumor cells using the CellSearch® system. </w:t>
      </w:r>
      <w:r w:rsidRPr="007E40FA">
        <w:rPr>
          <w:i/>
          <w:iCs/>
          <w:noProof/>
        </w:rPr>
        <w:t>Cytometry. Part A : the journal of the International Society for Analytical Cytology</w:t>
      </w:r>
      <w:r w:rsidRPr="007E40FA">
        <w:rPr>
          <w:noProof/>
        </w:rPr>
        <w:t xml:space="preserve"> </w:t>
      </w:r>
      <w:r w:rsidRPr="007E40FA">
        <w:rPr>
          <w:b/>
          <w:bCs/>
          <w:noProof/>
        </w:rPr>
        <w:t>81</w:t>
      </w:r>
      <w:r w:rsidRPr="007E40FA">
        <w:rPr>
          <w:noProof/>
        </w:rPr>
        <w:t xml:space="preserve"> (11), 983–95, doi:10.1002/cyto.a.22158 (2012).</w:t>
      </w:r>
    </w:p>
    <w:p w:rsidR="007F0560" w:rsidRPr="007E40FA" w:rsidRDefault="007F0560">
      <w:pPr>
        <w:pStyle w:val="NormalWeb"/>
        <w:ind w:left="640" w:hanging="640"/>
        <w:divId w:val="941186404"/>
        <w:rPr>
          <w:noProof/>
        </w:rPr>
      </w:pPr>
      <w:r w:rsidRPr="007E40FA">
        <w:rPr>
          <w:noProof/>
        </w:rPr>
        <w:t>17.</w:t>
      </w:r>
      <w:r w:rsidRPr="007E40FA">
        <w:rPr>
          <w:noProof/>
        </w:rPr>
        <w:tab/>
        <w:t xml:space="preserve">Fehm, T., Müller, V., </w:t>
      </w:r>
      <w:r w:rsidRPr="007E40FA">
        <w:rPr>
          <w:i/>
          <w:iCs/>
          <w:noProof/>
        </w:rPr>
        <w:t>et al.</w:t>
      </w:r>
      <w:r w:rsidRPr="007E40FA">
        <w:rPr>
          <w:noProof/>
        </w:rPr>
        <w:t xml:space="preserve"> HER2 status of circulating tumor cells in patients with metastatic breast cancer: a prospective, multicenter trial. </w:t>
      </w:r>
      <w:r w:rsidRPr="007E40FA">
        <w:rPr>
          <w:i/>
          <w:iCs/>
          <w:noProof/>
        </w:rPr>
        <w:t>Breast cancer research and treatment</w:t>
      </w:r>
      <w:r w:rsidRPr="007E40FA">
        <w:rPr>
          <w:noProof/>
        </w:rPr>
        <w:t xml:space="preserve"> </w:t>
      </w:r>
      <w:r w:rsidRPr="007E40FA">
        <w:rPr>
          <w:b/>
          <w:bCs/>
          <w:noProof/>
        </w:rPr>
        <w:t>124</w:t>
      </w:r>
      <w:r w:rsidRPr="007E40FA">
        <w:rPr>
          <w:noProof/>
        </w:rPr>
        <w:t xml:space="preserve"> (2), 403–12 (2010).</w:t>
      </w:r>
    </w:p>
    <w:p w:rsidR="007F0560" w:rsidRPr="007E40FA" w:rsidRDefault="007F0560">
      <w:pPr>
        <w:pStyle w:val="NormalWeb"/>
        <w:ind w:left="640" w:hanging="640"/>
        <w:divId w:val="941186404"/>
        <w:rPr>
          <w:noProof/>
        </w:rPr>
      </w:pPr>
      <w:r w:rsidRPr="007E40FA">
        <w:rPr>
          <w:noProof/>
        </w:rPr>
        <w:t>18.</w:t>
      </w:r>
      <w:r w:rsidRPr="007E40FA">
        <w:rPr>
          <w:noProof/>
        </w:rPr>
        <w:tab/>
        <w:t xml:space="preserve">Liu, Y., Liu, Q., </w:t>
      </w:r>
      <w:r w:rsidRPr="007E40FA">
        <w:rPr>
          <w:i/>
          <w:iCs/>
          <w:noProof/>
        </w:rPr>
        <w:t>et al.</w:t>
      </w:r>
      <w:r w:rsidRPr="007E40FA">
        <w:rPr>
          <w:noProof/>
        </w:rPr>
        <w:t xml:space="preserve"> Circulating tumor cells in HER2-positive metastatic breast cancer patients: a valuable prognostic and predictive biomarker. </w:t>
      </w:r>
      <w:r w:rsidRPr="007E40FA">
        <w:rPr>
          <w:i/>
          <w:iCs/>
          <w:noProof/>
        </w:rPr>
        <w:t>BMC cancer</w:t>
      </w:r>
      <w:r w:rsidRPr="007E40FA">
        <w:rPr>
          <w:noProof/>
        </w:rPr>
        <w:t xml:space="preserve"> </w:t>
      </w:r>
      <w:r w:rsidRPr="007E40FA">
        <w:rPr>
          <w:b/>
          <w:bCs/>
          <w:noProof/>
        </w:rPr>
        <w:t>13</w:t>
      </w:r>
      <w:r w:rsidRPr="007E40FA">
        <w:rPr>
          <w:noProof/>
        </w:rPr>
        <w:t>, 202, doi:10.1186/1471-2407-13-202 (2013).</w:t>
      </w:r>
    </w:p>
    <w:p w:rsidR="007F0560" w:rsidRPr="007E40FA" w:rsidRDefault="007F0560">
      <w:pPr>
        <w:pStyle w:val="NormalWeb"/>
        <w:ind w:left="640" w:hanging="640"/>
        <w:divId w:val="941186404"/>
        <w:rPr>
          <w:noProof/>
        </w:rPr>
      </w:pPr>
      <w:r w:rsidRPr="007E40FA">
        <w:rPr>
          <w:noProof/>
        </w:rPr>
        <w:t>19.</w:t>
      </w:r>
      <w:r w:rsidRPr="007E40FA">
        <w:rPr>
          <w:noProof/>
        </w:rPr>
        <w:tab/>
        <w:t xml:space="preserve">Slamon, D. J., Leyland-Jones, B., </w:t>
      </w:r>
      <w:r w:rsidRPr="007E40FA">
        <w:rPr>
          <w:i/>
          <w:iCs/>
          <w:noProof/>
        </w:rPr>
        <w:t>et al.</w:t>
      </w:r>
      <w:r w:rsidRPr="007E40FA">
        <w:rPr>
          <w:noProof/>
        </w:rPr>
        <w:t xml:space="preserve"> Use of chemotherapy plus a monoclonal antibody against HER2 for metastatic breast cancer that overexpresses HER2. </w:t>
      </w:r>
      <w:r w:rsidRPr="007E40FA">
        <w:rPr>
          <w:i/>
          <w:iCs/>
          <w:noProof/>
        </w:rPr>
        <w:t>The New England journal of medicine</w:t>
      </w:r>
      <w:r w:rsidRPr="007E40FA">
        <w:rPr>
          <w:noProof/>
        </w:rPr>
        <w:t xml:space="preserve"> </w:t>
      </w:r>
      <w:r w:rsidRPr="007E40FA">
        <w:rPr>
          <w:b/>
          <w:bCs/>
          <w:noProof/>
        </w:rPr>
        <w:t>344</w:t>
      </w:r>
      <w:r w:rsidRPr="007E40FA">
        <w:rPr>
          <w:noProof/>
        </w:rPr>
        <w:t xml:space="preserve"> (11), 783–92, doi:10.1056/NEJM200103153441101 (2001).</w:t>
      </w:r>
    </w:p>
    <w:p w:rsidR="007F0560" w:rsidRPr="007E40FA" w:rsidRDefault="007F0560">
      <w:pPr>
        <w:pStyle w:val="NormalWeb"/>
        <w:ind w:left="640" w:hanging="640"/>
        <w:divId w:val="941186404"/>
        <w:rPr>
          <w:noProof/>
        </w:rPr>
      </w:pPr>
      <w:r w:rsidRPr="007E40FA">
        <w:rPr>
          <w:noProof/>
        </w:rPr>
        <w:t>20.</w:t>
      </w:r>
      <w:r w:rsidRPr="007E40FA">
        <w:rPr>
          <w:noProof/>
        </w:rPr>
        <w:tab/>
        <w:t xml:space="preserve">Marty, M., Cognetti, F., </w:t>
      </w:r>
      <w:r w:rsidRPr="007E40FA">
        <w:rPr>
          <w:i/>
          <w:iCs/>
          <w:noProof/>
        </w:rPr>
        <w:t>et al.</w:t>
      </w:r>
      <w:r w:rsidRPr="007E40FA">
        <w:rPr>
          <w:noProof/>
        </w:rPr>
        <w:t xml:space="preserve"> Randomized phase II trial of the efficacy and safety of trastuzumab combined with docetaxel in patients with human epidermal growth factor </w:t>
      </w:r>
      <w:r w:rsidRPr="007E40FA">
        <w:rPr>
          <w:noProof/>
        </w:rPr>
        <w:lastRenderedPageBreak/>
        <w:t xml:space="preserve">receptor 2-positive metastatic breast cancer administered as first-line treatment: the M77001 study group. </w:t>
      </w:r>
      <w:r w:rsidRPr="007E40FA">
        <w:rPr>
          <w:i/>
          <w:iCs/>
          <w:noProof/>
        </w:rPr>
        <w:t>Journal of clinical oncology : official journal of the American Society of Clinical Oncology</w:t>
      </w:r>
      <w:r w:rsidRPr="007E40FA">
        <w:rPr>
          <w:noProof/>
        </w:rPr>
        <w:t xml:space="preserve"> </w:t>
      </w:r>
      <w:r w:rsidRPr="007E40FA">
        <w:rPr>
          <w:b/>
          <w:bCs/>
          <w:noProof/>
        </w:rPr>
        <w:t>23</w:t>
      </w:r>
      <w:r w:rsidRPr="007E40FA">
        <w:rPr>
          <w:noProof/>
        </w:rPr>
        <w:t xml:space="preserve"> (19), 4265–74, doi:10.1200/JCO.2005.04.173 (2005).</w:t>
      </w:r>
    </w:p>
    <w:p w:rsidR="007F0560" w:rsidRPr="007E40FA" w:rsidRDefault="007F0560">
      <w:pPr>
        <w:pStyle w:val="NormalWeb"/>
        <w:ind w:left="640" w:hanging="640"/>
        <w:divId w:val="941186404"/>
        <w:rPr>
          <w:noProof/>
        </w:rPr>
      </w:pPr>
      <w:r w:rsidRPr="007E40FA">
        <w:rPr>
          <w:noProof/>
        </w:rPr>
        <w:t>21.</w:t>
      </w:r>
      <w:r w:rsidRPr="007E40FA">
        <w:rPr>
          <w:noProof/>
        </w:rPr>
        <w:tab/>
        <w:t xml:space="preserve">Slamon, D., Eiermann, W., </w:t>
      </w:r>
      <w:r w:rsidRPr="007E40FA">
        <w:rPr>
          <w:i/>
          <w:iCs/>
          <w:noProof/>
        </w:rPr>
        <w:t>et al.</w:t>
      </w:r>
      <w:r w:rsidRPr="007E40FA">
        <w:rPr>
          <w:noProof/>
        </w:rPr>
        <w:t xml:space="preserve"> Adjuvant trastuzumab in HER2-positive breast cancer. </w:t>
      </w:r>
      <w:r w:rsidRPr="007E40FA">
        <w:rPr>
          <w:i/>
          <w:iCs/>
          <w:noProof/>
        </w:rPr>
        <w:t>The New England journal of medicine</w:t>
      </w:r>
      <w:r w:rsidRPr="007E40FA">
        <w:rPr>
          <w:noProof/>
        </w:rPr>
        <w:t xml:space="preserve"> </w:t>
      </w:r>
      <w:r w:rsidRPr="007E40FA">
        <w:rPr>
          <w:b/>
          <w:bCs/>
          <w:noProof/>
        </w:rPr>
        <w:t>365</w:t>
      </w:r>
      <w:r w:rsidRPr="007E40FA">
        <w:rPr>
          <w:noProof/>
        </w:rPr>
        <w:t xml:space="preserve"> (14), 1273–83, doi:10.1056/NEJMoa0910383 (2011).</w:t>
      </w:r>
    </w:p>
    <w:p w:rsidR="007F0560" w:rsidRPr="007E40FA" w:rsidRDefault="007F0560">
      <w:pPr>
        <w:pStyle w:val="NormalWeb"/>
        <w:ind w:left="640" w:hanging="640"/>
        <w:divId w:val="941186404"/>
        <w:rPr>
          <w:noProof/>
        </w:rPr>
      </w:pPr>
      <w:r w:rsidRPr="007E40FA">
        <w:rPr>
          <w:noProof/>
        </w:rPr>
        <w:t>22.</w:t>
      </w:r>
      <w:r w:rsidRPr="007E40FA">
        <w:rPr>
          <w:noProof/>
        </w:rPr>
        <w:tab/>
        <w:t xml:space="preserve">Welch, D. R. Technical considerations for studying cancer metastasis in vivo. </w:t>
      </w:r>
      <w:r w:rsidRPr="007E40FA">
        <w:rPr>
          <w:i/>
          <w:iCs/>
          <w:noProof/>
        </w:rPr>
        <w:t>Clinical &amp; experimental metastasis</w:t>
      </w:r>
      <w:r w:rsidRPr="007E40FA">
        <w:rPr>
          <w:noProof/>
        </w:rPr>
        <w:t xml:space="preserve"> </w:t>
      </w:r>
      <w:r w:rsidRPr="007E40FA">
        <w:rPr>
          <w:b/>
          <w:bCs/>
          <w:noProof/>
        </w:rPr>
        <w:t>15</w:t>
      </w:r>
      <w:r w:rsidRPr="007E40FA">
        <w:rPr>
          <w:noProof/>
        </w:rPr>
        <w:t xml:space="preserve"> (3), 272–306at &lt;http://www.ncbi.nlm.nih.gov/pubmed/9174129&gt; (1997).</w:t>
      </w:r>
    </w:p>
    <w:p w:rsidR="007F0560" w:rsidRPr="007E40FA" w:rsidRDefault="007F0560">
      <w:pPr>
        <w:pStyle w:val="NormalWeb"/>
        <w:ind w:left="640" w:hanging="640"/>
        <w:divId w:val="941186404"/>
        <w:rPr>
          <w:noProof/>
        </w:rPr>
      </w:pPr>
      <w:r w:rsidRPr="007E40FA">
        <w:rPr>
          <w:noProof/>
        </w:rPr>
        <w:t>23.</w:t>
      </w:r>
      <w:r w:rsidRPr="007E40FA">
        <w:rPr>
          <w:noProof/>
        </w:rPr>
        <w:tab/>
        <w:t xml:space="preserve">Goodale, D., Phay, C., Postenka, C. O., Keeney, M. &amp; Allan, A. L. Characterization of tumor cell dissemination patterns in preclinical models of cancer metastasis using flow cytometry and laser scanning cytometry. </w:t>
      </w:r>
      <w:r w:rsidRPr="007E40FA">
        <w:rPr>
          <w:i/>
          <w:iCs/>
          <w:noProof/>
        </w:rPr>
        <w:t>Cytometry. Part A : the journal of the International Society for Analytical Cytology</w:t>
      </w:r>
      <w:r w:rsidRPr="007E40FA">
        <w:rPr>
          <w:noProof/>
        </w:rPr>
        <w:t xml:space="preserve"> </w:t>
      </w:r>
      <w:r w:rsidRPr="007E40FA">
        <w:rPr>
          <w:b/>
          <w:bCs/>
          <w:noProof/>
        </w:rPr>
        <w:t>75</w:t>
      </w:r>
      <w:r w:rsidRPr="007E40FA">
        <w:rPr>
          <w:noProof/>
        </w:rPr>
        <w:t xml:space="preserve"> (4), 344–55 (2009).</w:t>
      </w:r>
    </w:p>
    <w:p w:rsidR="007F0560" w:rsidRPr="007E40FA" w:rsidRDefault="007F0560">
      <w:pPr>
        <w:pStyle w:val="NormalWeb"/>
        <w:ind w:left="640" w:hanging="640"/>
        <w:divId w:val="941186404"/>
        <w:rPr>
          <w:noProof/>
        </w:rPr>
      </w:pPr>
      <w:r w:rsidRPr="007E40FA">
        <w:rPr>
          <w:noProof/>
        </w:rPr>
        <w:t>24.</w:t>
      </w:r>
      <w:r w:rsidRPr="007E40FA">
        <w:rPr>
          <w:noProof/>
        </w:rPr>
        <w:tab/>
        <w:t xml:space="preserve">Gorges, T. M., Tinhofer, I., </w:t>
      </w:r>
      <w:r w:rsidRPr="007E40FA">
        <w:rPr>
          <w:i/>
          <w:iCs/>
          <w:noProof/>
        </w:rPr>
        <w:t>et al.</w:t>
      </w:r>
      <w:r w:rsidRPr="007E40FA">
        <w:rPr>
          <w:noProof/>
        </w:rPr>
        <w:t xml:space="preserve"> Circulating tumour cells escape from EpCAM-based detection due to epithelial-to-mesenchymal transition. </w:t>
      </w:r>
      <w:r w:rsidRPr="007E40FA">
        <w:rPr>
          <w:i/>
          <w:iCs/>
          <w:noProof/>
        </w:rPr>
        <w:t>BMC cancer</w:t>
      </w:r>
      <w:r w:rsidRPr="007E40FA">
        <w:rPr>
          <w:noProof/>
        </w:rPr>
        <w:t xml:space="preserve"> </w:t>
      </w:r>
      <w:r w:rsidRPr="007E40FA">
        <w:rPr>
          <w:b/>
          <w:bCs/>
          <w:noProof/>
        </w:rPr>
        <w:t>12</w:t>
      </w:r>
      <w:r w:rsidRPr="007E40FA">
        <w:rPr>
          <w:noProof/>
        </w:rPr>
        <w:t>, 178, doi:10.1186/1471-2407-12-178 (2012).</w:t>
      </w:r>
    </w:p>
    <w:p w:rsidR="007F0560" w:rsidRPr="007E40FA" w:rsidRDefault="007F0560">
      <w:pPr>
        <w:pStyle w:val="NormalWeb"/>
        <w:ind w:left="640" w:hanging="640"/>
        <w:divId w:val="941186404"/>
        <w:rPr>
          <w:noProof/>
        </w:rPr>
      </w:pPr>
      <w:r w:rsidRPr="007E40FA">
        <w:rPr>
          <w:noProof/>
        </w:rPr>
        <w:t>25.</w:t>
      </w:r>
      <w:r w:rsidRPr="007E40FA">
        <w:rPr>
          <w:noProof/>
        </w:rPr>
        <w:tab/>
        <w:t xml:space="preserve">Eliane, J.-P., Repollet, M., </w:t>
      </w:r>
      <w:r w:rsidRPr="007E40FA">
        <w:rPr>
          <w:i/>
          <w:iCs/>
          <w:noProof/>
        </w:rPr>
        <w:t>et al.</w:t>
      </w:r>
      <w:r w:rsidRPr="007E40FA">
        <w:rPr>
          <w:noProof/>
        </w:rPr>
        <w:t xml:space="preserve"> Monitoring serial changes in circulating human breast cancer cells in murine xenograft models. </w:t>
      </w:r>
      <w:r w:rsidRPr="007E40FA">
        <w:rPr>
          <w:i/>
          <w:iCs/>
          <w:noProof/>
        </w:rPr>
        <w:t>Cancer research</w:t>
      </w:r>
      <w:r w:rsidRPr="007E40FA">
        <w:rPr>
          <w:noProof/>
        </w:rPr>
        <w:t xml:space="preserve"> </w:t>
      </w:r>
      <w:r w:rsidRPr="007E40FA">
        <w:rPr>
          <w:b/>
          <w:bCs/>
          <w:noProof/>
        </w:rPr>
        <w:t>68</w:t>
      </w:r>
      <w:r w:rsidRPr="007E40FA">
        <w:rPr>
          <w:noProof/>
        </w:rPr>
        <w:t xml:space="preserve"> (14), 5529–32, doi:10.1158/0008-5472.CAN-08-0630 (2008).</w:t>
      </w:r>
    </w:p>
    <w:p w:rsidR="007F0560" w:rsidRPr="007E40FA" w:rsidRDefault="007F0560">
      <w:pPr>
        <w:pStyle w:val="NormalWeb"/>
        <w:ind w:left="640" w:hanging="640"/>
        <w:divId w:val="941186404"/>
        <w:rPr>
          <w:noProof/>
        </w:rPr>
      </w:pPr>
      <w:r w:rsidRPr="007E40FA">
        <w:rPr>
          <w:noProof/>
        </w:rPr>
        <w:t>26.</w:t>
      </w:r>
      <w:r w:rsidRPr="007E40FA">
        <w:rPr>
          <w:noProof/>
        </w:rPr>
        <w:tab/>
        <w:t>Veridex White Pages. Available at: http://www.veridex.com/pdf/CXC_Application_Guideline.PDF. (2008).</w:t>
      </w:r>
    </w:p>
    <w:p w:rsidR="007F0560" w:rsidRPr="007E40FA" w:rsidRDefault="007F0560">
      <w:pPr>
        <w:pStyle w:val="NormalWeb"/>
        <w:ind w:left="640" w:hanging="640"/>
        <w:divId w:val="941186404"/>
        <w:rPr>
          <w:noProof/>
        </w:rPr>
      </w:pPr>
      <w:r w:rsidRPr="007E40FA">
        <w:rPr>
          <w:noProof/>
        </w:rPr>
        <w:t>27.</w:t>
      </w:r>
      <w:r w:rsidRPr="007E40FA">
        <w:rPr>
          <w:noProof/>
        </w:rPr>
        <w:tab/>
        <w:t xml:space="preserve">Flores, L. M., Kindelberger, D. W., </w:t>
      </w:r>
      <w:r w:rsidRPr="007E40FA">
        <w:rPr>
          <w:i/>
          <w:iCs/>
          <w:noProof/>
        </w:rPr>
        <w:t>et al.</w:t>
      </w:r>
      <w:r w:rsidRPr="007E40FA">
        <w:rPr>
          <w:noProof/>
        </w:rPr>
        <w:t xml:space="preserve"> Improving the yield of circulating tumour cells facilitates molecular characterisation and recognition of discordant HER2 amplification in breast cancer. </w:t>
      </w:r>
      <w:r w:rsidRPr="007E40FA">
        <w:rPr>
          <w:i/>
          <w:iCs/>
          <w:noProof/>
        </w:rPr>
        <w:t>British journal of cancer</w:t>
      </w:r>
      <w:r w:rsidRPr="007E40FA">
        <w:rPr>
          <w:noProof/>
        </w:rPr>
        <w:t xml:space="preserve"> </w:t>
      </w:r>
      <w:r w:rsidRPr="007E40FA">
        <w:rPr>
          <w:b/>
          <w:bCs/>
          <w:noProof/>
        </w:rPr>
        <w:t>102</w:t>
      </w:r>
      <w:r w:rsidRPr="007E40FA">
        <w:rPr>
          <w:noProof/>
        </w:rPr>
        <w:t xml:space="preserve"> (10), 1495–502 (2010).</w:t>
      </w:r>
    </w:p>
    <w:p w:rsidR="007F0560" w:rsidRPr="007E40FA" w:rsidRDefault="007F0560">
      <w:pPr>
        <w:pStyle w:val="NormalWeb"/>
        <w:ind w:left="640" w:hanging="640"/>
        <w:divId w:val="941186404"/>
        <w:rPr>
          <w:noProof/>
        </w:rPr>
      </w:pPr>
      <w:r w:rsidRPr="007E40FA">
        <w:rPr>
          <w:noProof/>
        </w:rPr>
        <w:t>28.</w:t>
      </w:r>
      <w:r w:rsidRPr="007E40FA">
        <w:rPr>
          <w:noProof/>
        </w:rPr>
        <w:tab/>
        <w:t xml:space="preserve">Sieuwerts, A. M., Kraan, J., </w:t>
      </w:r>
      <w:r w:rsidRPr="007E40FA">
        <w:rPr>
          <w:i/>
          <w:iCs/>
          <w:noProof/>
        </w:rPr>
        <w:t>et al.</w:t>
      </w:r>
      <w:r w:rsidRPr="007E40FA">
        <w:rPr>
          <w:noProof/>
        </w:rPr>
        <w:t xml:space="preserve"> Molecular characterization of circulating tumor cells in large quantities of contaminating leukocytes by a multiplex real-time PCR. </w:t>
      </w:r>
      <w:r w:rsidRPr="007E40FA">
        <w:rPr>
          <w:i/>
          <w:iCs/>
          <w:noProof/>
        </w:rPr>
        <w:t>Breast cancer research and treatment</w:t>
      </w:r>
      <w:r w:rsidRPr="007E40FA">
        <w:rPr>
          <w:noProof/>
        </w:rPr>
        <w:t xml:space="preserve"> </w:t>
      </w:r>
      <w:r w:rsidRPr="007E40FA">
        <w:rPr>
          <w:b/>
          <w:bCs/>
          <w:noProof/>
        </w:rPr>
        <w:t>118</w:t>
      </w:r>
      <w:r w:rsidRPr="007E40FA">
        <w:rPr>
          <w:noProof/>
        </w:rPr>
        <w:t xml:space="preserve"> (3), 455–68, doi:10.1007/s10549-008-0290-0 (2009).</w:t>
      </w:r>
    </w:p>
    <w:p w:rsidR="007F0560" w:rsidRPr="007E40FA" w:rsidRDefault="007F0560">
      <w:pPr>
        <w:pStyle w:val="NormalWeb"/>
        <w:ind w:left="640" w:hanging="640"/>
        <w:divId w:val="941186404"/>
        <w:rPr>
          <w:noProof/>
        </w:rPr>
      </w:pPr>
      <w:r w:rsidRPr="007E40FA">
        <w:rPr>
          <w:noProof/>
        </w:rPr>
        <w:t>29.</w:t>
      </w:r>
      <w:r w:rsidRPr="007E40FA">
        <w:rPr>
          <w:noProof/>
        </w:rPr>
        <w:tab/>
        <w:t xml:space="preserve">Cohen, S. J., Punt, C. J. a, </w:t>
      </w:r>
      <w:r w:rsidRPr="007E40FA">
        <w:rPr>
          <w:i/>
          <w:iCs/>
          <w:noProof/>
        </w:rPr>
        <w:t>et al.</w:t>
      </w:r>
      <w:r w:rsidRPr="007E40FA">
        <w:rPr>
          <w:noProof/>
        </w:rPr>
        <w:t xml:space="preserve"> Relationship of circulating tumor cells to tumor response, progression-free survival, and overall survival in patients with metastatic colorectal cancer. </w:t>
      </w:r>
      <w:r w:rsidRPr="007E40FA">
        <w:rPr>
          <w:i/>
          <w:iCs/>
          <w:noProof/>
        </w:rPr>
        <w:t>Journal of clinical oncology : official journal of the American Society of Clinical Oncology</w:t>
      </w:r>
      <w:r w:rsidRPr="007E40FA">
        <w:rPr>
          <w:noProof/>
        </w:rPr>
        <w:t xml:space="preserve"> </w:t>
      </w:r>
      <w:r w:rsidRPr="007E40FA">
        <w:rPr>
          <w:b/>
          <w:bCs/>
          <w:noProof/>
        </w:rPr>
        <w:t>26</w:t>
      </w:r>
      <w:r w:rsidRPr="007E40FA">
        <w:rPr>
          <w:noProof/>
        </w:rPr>
        <w:t xml:space="preserve"> (19), 3213–21, doi:10.1200/JCO.2007.15.8923 (2008).</w:t>
      </w:r>
    </w:p>
    <w:p w:rsidR="007F0560" w:rsidRPr="007E40FA" w:rsidRDefault="007F0560">
      <w:pPr>
        <w:pStyle w:val="NormalWeb"/>
        <w:ind w:left="640" w:hanging="640"/>
        <w:divId w:val="941186404"/>
        <w:rPr>
          <w:noProof/>
        </w:rPr>
      </w:pPr>
      <w:r w:rsidRPr="007E40FA">
        <w:rPr>
          <w:noProof/>
        </w:rPr>
        <w:t>30.</w:t>
      </w:r>
      <w:r w:rsidRPr="007E40FA">
        <w:rPr>
          <w:noProof/>
        </w:rPr>
        <w:tab/>
        <w:t xml:space="preserve">Allard, W. J., Matera, J., </w:t>
      </w:r>
      <w:r w:rsidRPr="007E40FA">
        <w:rPr>
          <w:i/>
          <w:iCs/>
          <w:noProof/>
        </w:rPr>
        <w:t>et al.</w:t>
      </w:r>
      <w:r w:rsidRPr="007E40FA">
        <w:rPr>
          <w:noProof/>
        </w:rPr>
        <w:t xml:space="preserve"> Tumor cells circulate in the peripheral blood of all major carcinomas but not in healthy subjects or patients with nonmalignant diseases. </w:t>
      </w:r>
      <w:r w:rsidRPr="007E40FA">
        <w:rPr>
          <w:i/>
          <w:iCs/>
          <w:noProof/>
        </w:rPr>
        <w:t>Clinical cancer research : an official journal of the American Association for Cancer Research</w:t>
      </w:r>
      <w:r w:rsidRPr="007E40FA">
        <w:rPr>
          <w:noProof/>
        </w:rPr>
        <w:t xml:space="preserve"> </w:t>
      </w:r>
      <w:r w:rsidRPr="007E40FA">
        <w:rPr>
          <w:b/>
          <w:bCs/>
          <w:noProof/>
        </w:rPr>
        <w:t>10</w:t>
      </w:r>
      <w:r w:rsidRPr="007E40FA">
        <w:rPr>
          <w:noProof/>
        </w:rPr>
        <w:t xml:space="preserve"> (20), 6897–904 (2004).</w:t>
      </w:r>
    </w:p>
    <w:p w:rsidR="007F0560" w:rsidRPr="007E40FA" w:rsidRDefault="007F0560">
      <w:pPr>
        <w:pStyle w:val="NormalWeb"/>
        <w:ind w:left="640" w:hanging="640"/>
        <w:divId w:val="941186404"/>
        <w:rPr>
          <w:noProof/>
        </w:rPr>
      </w:pPr>
      <w:r w:rsidRPr="007E40FA">
        <w:rPr>
          <w:noProof/>
        </w:rPr>
        <w:lastRenderedPageBreak/>
        <w:t>31.</w:t>
      </w:r>
      <w:r w:rsidRPr="007E40FA">
        <w:rPr>
          <w:noProof/>
        </w:rPr>
        <w:tab/>
        <w:t xml:space="preserve">Thiery, J. P., Acloque, H., Huang, R. Y. J. &amp; Nieto, M. A. Epithelial-mesenchymal transitions in development and disease. </w:t>
      </w:r>
      <w:r w:rsidRPr="007E40FA">
        <w:rPr>
          <w:i/>
          <w:iCs/>
          <w:noProof/>
        </w:rPr>
        <w:t>Cell</w:t>
      </w:r>
      <w:r w:rsidRPr="007E40FA">
        <w:rPr>
          <w:noProof/>
        </w:rPr>
        <w:t xml:space="preserve"> </w:t>
      </w:r>
      <w:r w:rsidRPr="007E40FA">
        <w:rPr>
          <w:b/>
          <w:bCs/>
          <w:noProof/>
        </w:rPr>
        <w:t>139</w:t>
      </w:r>
      <w:r w:rsidRPr="007E40FA">
        <w:rPr>
          <w:noProof/>
        </w:rPr>
        <w:t xml:space="preserve"> (5), 871–90, doi:10.1016/j.cell.2009.11.007 (2009).</w:t>
      </w:r>
    </w:p>
    <w:p w:rsidR="007F0560" w:rsidRPr="007E40FA" w:rsidRDefault="007F0560">
      <w:pPr>
        <w:pStyle w:val="NormalWeb"/>
        <w:ind w:left="640" w:hanging="640"/>
        <w:divId w:val="941186404"/>
        <w:rPr>
          <w:noProof/>
        </w:rPr>
      </w:pPr>
      <w:r w:rsidRPr="007E40FA">
        <w:rPr>
          <w:noProof/>
        </w:rPr>
        <w:t>32.</w:t>
      </w:r>
      <w:r w:rsidRPr="007E40FA">
        <w:rPr>
          <w:noProof/>
        </w:rPr>
        <w:tab/>
        <w:t xml:space="preserve">Yang, J. &amp; Weinberg, R. a Epithelial-mesenchymal transition: at the crossroads of development and tumor metastasis. </w:t>
      </w:r>
      <w:r w:rsidRPr="007E40FA">
        <w:rPr>
          <w:i/>
          <w:iCs/>
          <w:noProof/>
        </w:rPr>
        <w:t>Developmental cell</w:t>
      </w:r>
      <w:r w:rsidRPr="007E40FA">
        <w:rPr>
          <w:noProof/>
        </w:rPr>
        <w:t xml:space="preserve"> </w:t>
      </w:r>
      <w:r w:rsidRPr="007E40FA">
        <w:rPr>
          <w:b/>
          <w:bCs/>
          <w:noProof/>
        </w:rPr>
        <w:t>14</w:t>
      </w:r>
      <w:r w:rsidRPr="007E40FA">
        <w:rPr>
          <w:noProof/>
        </w:rPr>
        <w:t xml:space="preserve"> (6), 818–29 (2008).</w:t>
      </w:r>
    </w:p>
    <w:p w:rsidR="007F0560" w:rsidRPr="007E40FA" w:rsidRDefault="007F0560">
      <w:pPr>
        <w:pStyle w:val="NormalWeb"/>
        <w:ind w:left="640" w:hanging="640"/>
        <w:divId w:val="941186404"/>
        <w:rPr>
          <w:noProof/>
        </w:rPr>
      </w:pPr>
      <w:r w:rsidRPr="007E40FA">
        <w:rPr>
          <w:noProof/>
        </w:rPr>
        <w:t>33.</w:t>
      </w:r>
      <w:r w:rsidRPr="007E40FA">
        <w:rPr>
          <w:noProof/>
        </w:rPr>
        <w:tab/>
        <w:t xml:space="preserve">Gradilone, A., Raimondi, C., </w:t>
      </w:r>
      <w:r w:rsidRPr="007E40FA">
        <w:rPr>
          <w:i/>
          <w:iCs/>
          <w:noProof/>
        </w:rPr>
        <w:t>et al.</w:t>
      </w:r>
      <w:r w:rsidRPr="007E40FA">
        <w:rPr>
          <w:noProof/>
        </w:rPr>
        <w:t xml:space="preserve"> Circulating tumour cells lacking cytokeratin in breast cancer: the importance of being mesenchymal. </w:t>
      </w:r>
      <w:r w:rsidRPr="007E40FA">
        <w:rPr>
          <w:i/>
          <w:iCs/>
          <w:noProof/>
        </w:rPr>
        <w:t>Journal of cellular and molecular medicine</w:t>
      </w:r>
      <w:r w:rsidRPr="007E40FA">
        <w:rPr>
          <w:noProof/>
        </w:rPr>
        <w:t xml:space="preserve"> </w:t>
      </w:r>
      <w:r w:rsidRPr="007E40FA">
        <w:rPr>
          <w:b/>
          <w:bCs/>
          <w:noProof/>
        </w:rPr>
        <w:t>15</w:t>
      </w:r>
      <w:r w:rsidRPr="007E40FA">
        <w:rPr>
          <w:noProof/>
        </w:rPr>
        <w:t xml:space="preserve"> (5), 1066–70, doi:10.1111/j.1582-4934.2011.01285.x (2011).</w:t>
      </w:r>
    </w:p>
    <w:p w:rsidR="007F0560" w:rsidRPr="007E40FA" w:rsidRDefault="007F0560">
      <w:pPr>
        <w:pStyle w:val="NormalWeb"/>
        <w:ind w:left="640" w:hanging="640"/>
        <w:divId w:val="941186404"/>
        <w:rPr>
          <w:noProof/>
        </w:rPr>
      </w:pPr>
      <w:r w:rsidRPr="007E40FA">
        <w:rPr>
          <w:noProof/>
        </w:rPr>
        <w:t>34.</w:t>
      </w:r>
      <w:r w:rsidRPr="007E40FA">
        <w:rPr>
          <w:noProof/>
        </w:rPr>
        <w:tab/>
        <w:t xml:space="preserve">Königsberg, R., Obermayr, E., </w:t>
      </w:r>
      <w:r w:rsidRPr="007E40FA">
        <w:rPr>
          <w:i/>
          <w:iCs/>
          <w:noProof/>
        </w:rPr>
        <w:t>et al.</w:t>
      </w:r>
      <w:r w:rsidRPr="007E40FA">
        <w:rPr>
          <w:noProof/>
        </w:rPr>
        <w:t xml:space="preserve"> Detection of EpCAM positive and negative circulating tumor cells in metastatic breast cancer patients. </w:t>
      </w:r>
      <w:r w:rsidRPr="007E40FA">
        <w:rPr>
          <w:i/>
          <w:iCs/>
          <w:noProof/>
        </w:rPr>
        <w:t>Acta oncologica (Stockholm, Sweden)</w:t>
      </w:r>
      <w:r w:rsidRPr="007E40FA">
        <w:rPr>
          <w:noProof/>
        </w:rPr>
        <w:t xml:space="preserve"> </w:t>
      </w:r>
      <w:r w:rsidRPr="007E40FA">
        <w:rPr>
          <w:b/>
          <w:bCs/>
          <w:noProof/>
        </w:rPr>
        <w:t>Epub</w:t>
      </w:r>
      <w:r w:rsidRPr="007E40FA">
        <w:rPr>
          <w:noProof/>
        </w:rPr>
        <w:t xml:space="preserve"> (Epub), Epub (2011).</w:t>
      </w:r>
    </w:p>
    <w:p w:rsidR="007F0560" w:rsidRPr="007E40FA" w:rsidRDefault="007F0560">
      <w:pPr>
        <w:pStyle w:val="NormalWeb"/>
        <w:ind w:left="640" w:hanging="640"/>
        <w:divId w:val="941186404"/>
        <w:rPr>
          <w:noProof/>
        </w:rPr>
      </w:pPr>
      <w:r w:rsidRPr="007E40FA">
        <w:rPr>
          <w:noProof/>
        </w:rPr>
        <w:t>35.</w:t>
      </w:r>
      <w:r w:rsidRPr="007E40FA">
        <w:rPr>
          <w:noProof/>
        </w:rPr>
        <w:tab/>
        <w:t xml:space="preserve">Kasimir-Bauer, S., Hoffmann, O., Wallwiener, D., Kimmig, R. &amp; Fehm, T. Expression of stem cell and epithelial-mesenchymal transition markers in primary breast cancer patients with circulating tumor cells. </w:t>
      </w:r>
      <w:r w:rsidRPr="007E40FA">
        <w:rPr>
          <w:i/>
          <w:iCs/>
          <w:noProof/>
        </w:rPr>
        <w:t>Breast cancer research : BCR</w:t>
      </w:r>
      <w:r w:rsidRPr="007E40FA">
        <w:rPr>
          <w:noProof/>
        </w:rPr>
        <w:t xml:space="preserve"> </w:t>
      </w:r>
      <w:r w:rsidRPr="007E40FA">
        <w:rPr>
          <w:b/>
          <w:bCs/>
          <w:noProof/>
        </w:rPr>
        <w:t>14</w:t>
      </w:r>
      <w:r w:rsidRPr="007E40FA">
        <w:rPr>
          <w:noProof/>
        </w:rPr>
        <w:t xml:space="preserve"> (1), R15, doi:10.1186/bcr3099 (2012).</w:t>
      </w:r>
    </w:p>
    <w:p w:rsidR="007F0560" w:rsidRPr="007E40FA" w:rsidRDefault="007F0560">
      <w:pPr>
        <w:pStyle w:val="NormalWeb"/>
        <w:ind w:left="640" w:hanging="640"/>
        <w:divId w:val="941186404"/>
        <w:rPr>
          <w:noProof/>
        </w:rPr>
      </w:pPr>
      <w:r w:rsidRPr="007E40FA">
        <w:rPr>
          <w:noProof/>
        </w:rPr>
        <w:t>36.</w:t>
      </w:r>
      <w:r w:rsidRPr="007E40FA">
        <w:rPr>
          <w:noProof/>
        </w:rPr>
        <w:tab/>
        <w:t xml:space="preserve">Mego, M., Mani, S. A., </w:t>
      </w:r>
      <w:r w:rsidRPr="007E40FA">
        <w:rPr>
          <w:i/>
          <w:iCs/>
          <w:noProof/>
        </w:rPr>
        <w:t>et al.</w:t>
      </w:r>
      <w:r w:rsidRPr="007E40FA">
        <w:rPr>
          <w:noProof/>
        </w:rPr>
        <w:t xml:space="preserve"> Expression of epithelial-mesenchymal transition-inducing transcription factors in primary breast cancer: The effect of neoadjuvant therapy. </w:t>
      </w:r>
      <w:r w:rsidRPr="007E40FA">
        <w:rPr>
          <w:i/>
          <w:iCs/>
          <w:noProof/>
        </w:rPr>
        <w:t>International journal of cancer. Journal international du cancer</w:t>
      </w:r>
      <w:r w:rsidRPr="007E40FA">
        <w:rPr>
          <w:noProof/>
        </w:rPr>
        <w:t xml:space="preserve"> </w:t>
      </w:r>
      <w:r w:rsidRPr="007E40FA">
        <w:rPr>
          <w:b/>
          <w:bCs/>
          <w:noProof/>
        </w:rPr>
        <w:t>Epub</w:t>
      </w:r>
      <w:r w:rsidRPr="007E40FA">
        <w:rPr>
          <w:noProof/>
        </w:rPr>
        <w:t xml:space="preserve"> (Epub), Epub (2011).</w:t>
      </w:r>
    </w:p>
    <w:p w:rsidR="007F0560" w:rsidRPr="007E40FA" w:rsidRDefault="007F0560">
      <w:pPr>
        <w:pStyle w:val="NormalWeb"/>
        <w:ind w:left="640" w:hanging="640"/>
        <w:divId w:val="941186404"/>
        <w:rPr>
          <w:noProof/>
        </w:rPr>
      </w:pPr>
      <w:r w:rsidRPr="007E40FA">
        <w:rPr>
          <w:noProof/>
        </w:rPr>
        <w:t>37.</w:t>
      </w:r>
      <w:r w:rsidRPr="007E40FA">
        <w:rPr>
          <w:noProof/>
        </w:rPr>
        <w:tab/>
        <w:t xml:space="preserve">Yu, M., Bardia, A., </w:t>
      </w:r>
      <w:r w:rsidRPr="007E40FA">
        <w:rPr>
          <w:i/>
          <w:iCs/>
          <w:noProof/>
        </w:rPr>
        <w:t>et al.</w:t>
      </w:r>
      <w:r w:rsidRPr="007E40FA">
        <w:rPr>
          <w:noProof/>
        </w:rPr>
        <w:t xml:space="preserve"> Circulating breast tumor cells exhibit dynamic changes in epithelial and mesenchymal composition. </w:t>
      </w:r>
      <w:r w:rsidRPr="007E40FA">
        <w:rPr>
          <w:i/>
          <w:iCs/>
          <w:noProof/>
        </w:rPr>
        <w:t>Science (New York, N.Y.)</w:t>
      </w:r>
      <w:r w:rsidRPr="007E40FA">
        <w:rPr>
          <w:noProof/>
        </w:rPr>
        <w:t xml:space="preserve"> </w:t>
      </w:r>
      <w:r w:rsidRPr="007E40FA">
        <w:rPr>
          <w:b/>
          <w:bCs/>
          <w:noProof/>
        </w:rPr>
        <w:t>339</w:t>
      </w:r>
      <w:r w:rsidRPr="007E40FA">
        <w:rPr>
          <w:noProof/>
        </w:rPr>
        <w:t xml:space="preserve"> (6119), 580–4, doi:10.1126/science.1228522 (2013).</w:t>
      </w:r>
    </w:p>
    <w:p w:rsidR="007F0560" w:rsidRPr="007E40FA" w:rsidRDefault="007F0560">
      <w:pPr>
        <w:pStyle w:val="NormalWeb"/>
        <w:ind w:left="640" w:hanging="640"/>
        <w:divId w:val="941186404"/>
        <w:rPr>
          <w:noProof/>
        </w:rPr>
      </w:pPr>
      <w:r w:rsidRPr="007E40FA">
        <w:rPr>
          <w:noProof/>
        </w:rPr>
        <w:t>38.</w:t>
      </w:r>
      <w:r w:rsidRPr="007E40FA">
        <w:rPr>
          <w:noProof/>
        </w:rPr>
        <w:tab/>
        <w:t xml:space="preserve">Armstrong, A. J., Marengo, M. S., </w:t>
      </w:r>
      <w:r w:rsidRPr="007E40FA">
        <w:rPr>
          <w:i/>
          <w:iCs/>
          <w:noProof/>
        </w:rPr>
        <w:t>et al.</w:t>
      </w:r>
      <w:r w:rsidRPr="007E40FA">
        <w:rPr>
          <w:noProof/>
        </w:rPr>
        <w:t xml:space="preserve"> Circulating tumor cells from patients with advanced prostate and breast cancer display both epithelial and mesenchymal markers. </w:t>
      </w:r>
      <w:r w:rsidRPr="007E40FA">
        <w:rPr>
          <w:i/>
          <w:iCs/>
          <w:noProof/>
        </w:rPr>
        <w:t>Molecular cancer research : MCR</w:t>
      </w:r>
      <w:r w:rsidRPr="007E40FA">
        <w:rPr>
          <w:noProof/>
        </w:rPr>
        <w:t xml:space="preserve"> </w:t>
      </w:r>
      <w:r w:rsidRPr="007E40FA">
        <w:rPr>
          <w:b/>
          <w:bCs/>
          <w:noProof/>
        </w:rPr>
        <w:t>9</w:t>
      </w:r>
      <w:r w:rsidRPr="007E40FA">
        <w:rPr>
          <w:noProof/>
        </w:rPr>
        <w:t xml:space="preserve"> (8), 997–1007, doi:10.1158/1541-7786.MCR-10-0490 (2011). </w:t>
      </w:r>
    </w:p>
    <w:p w:rsidR="000874E0" w:rsidRPr="007E40FA" w:rsidRDefault="0036708D" w:rsidP="007F0560">
      <w:pPr>
        <w:pStyle w:val="NormalWeb"/>
        <w:ind w:left="640" w:hanging="640"/>
        <w:divId w:val="351610388"/>
        <w:rPr>
          <w:b/>
        </w:rPr>
      </w:pPr>
      <w:r w:rsidRPr="007E40FA">
        <w:rPr>
          <w:b/>
        </w:rPr>
        <w:fldChar w:fldCharType="end"/>
      </w:r>
    </w:p>
    <w:sectPr w:rsidR="000874E0" w:rsidRPr="007E40FA" w:rsidSect="007C26BF">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927" w:rsidRDefault="00BF4927" w:rsidP="000668F2">
      <w:pPr>
        <w:spacing w:after="0" w:line="240" w:lineRule="auto"/>
      </w:pPr>
      <w:r>
        <w:separator/>
      </w:r>
    </w:p>
  </w:endnote>
  <w:endnote w:type="continuationSeparator" w:id="0">
    <w:p w:rsidR="00BF4927" w:rsidRDefault="00BF4927" w:rsidP="00066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654430"/>
      <w:docPartObj>
        <w:docPartGallery w:val="Page Numbers (Bottom of Page)"/>
        <w:docPartUnique/>
      </w:docPartObj>
    </w:sdtPr>
    <w:sdtEndPr>
      <w:rPr>
        <w:rFonts w:ascii="Times New Roman" w:hAnsi="Times New Roman"/>
        <w:noProof/>
        <w:sz w:val="24"/>
        <w:szCs w:val="24"/>
      </w:rPr>
    </w:sdtEndPr>
    <w:sdtContent>
      <w:p w:rsidR="0038557C" w:rsidRPr="000668F2" w:rsidRDefault="0036708D">
        <w:pPr>
          <w:pStyle w:val="Footer"/>
          <w:jc w:val="center"/>
          <w:rPr>
            <w:rFonts w:ascii="Times New Roman" w:hAnsi="Times New Roman"/>
            <w:sz w:val="24"/>
            <w:szCs w:val="24"/>
          </w:rPr>
        </w:pPr>
        <w:r w:rsidRPr="00201C52">
          <w:rPr>
            <w:rFonts w:ascii="Times New Roman" w:hAnsi="Times New Roman"/>
            <w:sz w:val="24"/>
            <w:szCs w:val="24"/>
          </w:rPr>
          <w:fldChar w:fldCharType="begin"/>
        </w:r>
        <w:r w:rsidR="0038557C" w:rsidRPr="00201C52">
          <w:rPr>
            <w:rFonts w:ascii="Times New Roman" w:hAnsi="Times New Roman"/>
            <w:sz w:val="24"/>
            <w:szCs w:val="24"/>
          </w:rPr>
          <w:instrText xml:space="preserve"> PAGE   \* MERGEFORMAT </w:instrText>
        </w:r>
        <w:r w:rsidRPr="00201C52">
          <w:rPr>
            <w:rFonts w:ascii="Times New Roman" w:hAnsi="Times New Roman"/>
            <w:sz w:val="24"/>
            <w:szCs w:val="24"/>
          </w:rPr>
          <w:fldChar w:fldCharType="separate"/>
        </w:r>
        <w:r w:rsidR="003C131A">
          <w:rPr>
            <w:rFonts w:ascii="Times New Roman" w:hAnsi="Times New Roman"/>
            <w:noProof/>
            <w:sz w:val="24"/>
            <w:szCs w:val="24"/>
          </w:rPr>
          <w:t>8</w:t>
        </w:r>
        <w:r w:rsidRPr="00201C52">
          <w:rPr>
            <w:rFonts w:ascii="Times New Roman" w:hAnsi="Times New Roman"/>
            <w:noProof/>
            <w:sz w:val="24"/>
            <w:szCs w:val="24"/>
          </w:rPr>
          <w:fldChar w:fldCharType="end"/>
        </w:r>
      </w:p>
    </w:sdtContent>
  </w:sdt>
  <w:p w:rsidR="0038557C" w:rsidRDefault="003855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927" w:rsidRDefault="00BF4927" w:rsidP="000668F2">
      <w:pPr>
        <w:spacing w:after="0" w:line="240" w:lineRule="auto"/>
      </w:pPr>
      <w:r>
        <w:separator/>
      </w:r>
    </w:p>
  </w:footnote>
  <w:footnote w:type="continuationSeparator" w:id="0">
    <w:p w:rsidR="00BF4927" w:rsidRDefault="00BF4927" w:rsidP="000668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75B"/>
    <w:multiLevelType w:val="hybridMultilevel"/>
    <w:tmpl w:val="C5DAF97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278263E7"/>
    <w:multiLevelType w:val="multilevel"/>
    <w:tmpl w:val="263C1C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2A4B3187"/>
    <w:multiLevelType w:val="hybridMultilevel"/>
    <w:tmpl w:val="4D6A2988"/>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58A2D5A"/>
    <w:multiLevelType w:val="hybridMultilevel"/>
    <w:tmpl w:val="43DA90A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39C33911"/>
    <w:multiLevelType w:val="multilevel"/>
    <w:tmpl w:val="EAB606E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0B77686"/>
    <w:multiLevelType w:val="multilevel"/>
    <w:tmpl w:val="0EB2429A"/>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518F2DEF"/>
    <w:multiLevelType w:val="hybridMultilevel"/>
    <w:tmpl w:val="839694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3FB0A12"/>
    <w:multiLevelType w:val="multilevel"/>
    <w:tmpl w:val="46D4BA38"/>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58D11B7F"/>
    <w:multiLevelType w:val="multilevel"/>
    <w:tmpl w:val="E3E09134"/>
    <w:lvl w:ilvl="0">
      <w:start w:val="5"/>
      <w:numFmt w:val="decimal"/>
      <w:lvlText w:val="%1."/>
      <w:lvlJc w:val="left"/>
      <w:pPr>
        <w:ind w:left="360" w:hanging="360"/>
      </w:pPr>
      <w:rPr>
        <w:rFonts w:hint="default"/>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68A43C37"/>
    <w:multiLevelType w:val="hybridMultilevel"/>
    <w:tmpl w:val="401A8D5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6AEE79DF"/>
    <w:multiLevelType w:val="multilevel"/>
    <w:tmpl w:val="0468703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6FA37E19"/>
    <w:multiLevelType w:val="multilevel"/>
    <w:tmpl w:val="7ED64858"/>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76393317"/>
    <w:multiLevelType w:val="multilevel"/>
    <w:tmpl w:val="263C1C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7EC46F28"/>
    <w:multiLevelType w:val="hybridMultilevel"/>
    <w:tmpl w:val="130E82DE"/>
    <w:lvl w:ilvl="0" w:tplc="13CCDC32">
      <w:numFmt w:val="bullet"/>
      <w:lvlText w:val="-"/>
      <w:lvlJc w:val="left"/>
      <w:pPr>
        <w:ind w:left="720" w:hanging="360"/>
      </w:pPr>
      <w:rPr>
        <w:rFonts w:ascii="Times New Roman" w:eastAsiaTheme="minorHAnsi" w:hAnsi="Times New Roman"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
  </w:num>
  <w:num w:numId="5">
    <w:abstractNumId w:val="4"/>
  </w:num>
  <w:num w:numId="6">
    <w:abstractNumId w:val="6"/>
  </w:num>
  <w:num w:numId="7">
    <w:abstractNumId w:val="12"/>
  </w:num>
  <w:num w:numId="8">
    <w:abstractNumId w:val="10"/>
  </w:num>
  <w:num w:numId="9">
    <w:abstractNumId w:val="11"/>
  </w:num>
  <w:num w:numId="10">
    <w:abstractNumId w:val="8"/>
  </w:num>
  <w:num w:numId="11">
    <w:abstractNumId w:val="7"/>
  </w:num>
  <w:num w:numId="12">
    <w:abstractNumId w:val="13"/>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C3C"/>
    <w:rsid w:val="000113D1"/>
    <w:rsid w:val="0001196B"/>
    <w:rsid w:val="00013A92"/>
    <w:rsid w:val="00021CFF"/>
    <w:rsid w:val="00024A9C"/>
    <w:rsid w:val="000336C0"/>
    <w:rsid w:val="00036BF0"/>
    <w:rsid w:val="00041704"/>
    <w:rsid w:val="00042D31"/>
    <w:rsid w:val="000454F5"/>
    <w:rsid w:val="00052FD7"/>
    <w:rsid w:val="000624BC"/>
    <w:rsid w:val="00065062"/>
    <w:rsid w:val="000668F2"/>
    <w:rsid w:val="00074403"/>
    <w:rsid w:val="000874E0"/>
    <w:rsid w:val="000A2CF0"/>
    <w:rsid w:val="000B3614"/>
    <w:rsid w:val="000B53C1"/>
    <w:rsid w:val="000C2941"/>
    <w:rsid w:val="000C45FB"/>
    <w:rsid w:val="000C6AE4"/>
    <w:rsid w:val="000C7419"/>
    <w:rsid w:val="000C7822"/>
    <w:rsid w:val="000D081F"/>
    <w:rsid w:val="000D2445"/>
    <w:rsid w:val="000E16E4"/>
    <w:rsid w:val="000E2E27"/>
    <w:rsid w:val="000F798A"/>
    <w:rsid w:val="001073BB"/>
    <w:rsid w:val="0011208F"/>
    <w:rsid w:val="001144B4"/>
    <w:rsid w:val="001201D9"/>
    <w:rsid w:val="00127DC4"/>
    <w:rsid w:val="001423C5"/>
    <w:rsid w:val="0014313E"/>
    <w:rsid w:val="00145492"/>
    <w:rsid w:val="0016707F"/>
    <w:rsid w:val="001723FC"/>
    <w:rsid w:val="00174FD1"/>
    <w:rsid w:val="00180583"/>
    <w:rsid w:val="00182EB9"/>
    <w:rsid w:val="00187E4B"/>
    <w:rsid w:val="00192C0A"/>
    <w:rsid w:val="001931ED"/>
    <w:rsid w:val="00195E41"/>
    <w:rsid w:val="001A4CF2"/>
    <w:rsid w:val="001C3034"/>
    <w:rsid w:val="001C4853"/>
    <w:rsid w:val="001F0875"/>
    <w:rsid w:val="001F62D0"/>
    <w:rsid w:val="00201C52"/>
    <w:rsid w:val="0020506B"/>
    <w:rsid w:val="002051C5"/>
    <w:rsid w:val="0020665C"/>
    <w:rsid w:val="00210B3A"/>
    <w:rsid w:val="00237481"/>
    <w:rsid w:val="00241D66"/>
    <w:rsid w:val="00244330"/>
    <w:rsid w:val="00257A1E"/>
    <w:rsid w:val="00273723"/>
    <w:rsid w:val="0029193C"/>
    <w:rsid w:val="00293670"/>
    <w:rsid w:val="002957A6"/>
    <w:rsid w:val="002B1A00"/>
    <w:rsid w:val="002C3864"/>
    <w:rsid w:val="002D38C3"/>
    <w:rsid w:val="002D4866"/>
    <w:rsid w:val="002E4FDA"/>
    <w:rsid w:val="002F616D"/>
    <w:rsid w:val="00305068"/>
    <w:rsid w:val="00327378"/>
    <w:rsid w:val="0035563F"/>
    <w:rsid w:val="0036708D"/>
    <w:rsid w:val="00383CC4"/>
    <w:rsid w:val="0038557C"/>
    <w:rsid w:val="003A0B84"/>
    <w:rsid w:val="003A7B51"/>
    <w:rsid w:val="003C131A"/>
    <w:rsid w:val="003D48AD"/>
    <w:rsid w:val="003E5224"/>
    <w:rsid w:val="003F0506"/>
    <w:rsid w:val="003F3597"/>
    <w:rsid w:val="003F51E8"/>
    <w:rsid w:val="003F6DD8"/>
    <w:rsid w:val="003F7839"/>
    <w:rsid w:val="004107AD"/>
    <w:rsid w:val="0041519E"/>
    <w:rsid w:val="0042148B"/>
    <w:rsid w:val="0042187A"/>
    <w:rsid w:val="004244FF"/>
    <w:rsid w:val="00425E34"/>
    <w:rsid w:val="00436000"/>
    <w:rsid w:val="004424F5"/>
    <w:rsid w:val="00455918"/>
    <w:rsid w:val="00457A13"/>
    <w:rsid w:val="004636EF"/>
    <w:rsid w:val="00474214"/>
    <w:rsid w:val="00480999"/>
    <w:rsid w:val="004959E1"/>
    <w:rsid w:val="004B191B"/>
    <w:rsid w:val="004B1B1C"/>
    <w:rsid w:val="004B532F"/>
    <w:rsid w:val="004C0272"/>
    <w:rsid w:val="004C7C29"/>
    <w:rsid w:val="004E34F9"/>
    <w:rsid w:val="004E3D16"/>
    <w:rsid w:val="004E6416"/>
    <w:rsid w:val="004F2D36"/>
    <w:rsid w:val="004F44AC"/>
    <w:rsid w:val="004F6ADB"/>
    <w:rsid w:val="004F6F65"/>
    <w:rsid w:val="00501054"/>
    <w:rsid w:val="005153D1"/>
    <w:rsid w:val="00517ADF"/>
    <w:rsid w:val="0052180F"/>
    <w:rsid w:val="00522D1A"/>
    <w:rsid w:val="0053069B"/>
    <w:rsid w:val="00533ACB"/>
    <w:rsid w:val="0053484E"/>
    <w:rsid w:val="00545AE0"/>
    <w:rsid w:val="005629D8"/>
    <w:rsid w:val="00593534"/>
    <w:rsid w:val="005978C2"/>
    <w:rsid w:val="005B2A59"/>
    <w:rsid w:val="005B6A3A"/>
    <w:rsid w:val="005C0375"/>
    <w:rsid w:val="005C7D73"/>
    <w:rsid w:val="005D0E6C"/>
    <w:rsid w:val="005E5B56"/>
    <w:rsid w:val="00606B83"/>
    <w:rsid w:val="00622C27"/>
    <w:rsid w:val="00625FA1"/>
    <w:rsid w:val="006368B7"/>
    <w:rsid w:val="00637B50"/>
    <w:rsid w:val="00680882"/>
    <w:rsid w:val="006925ED"/>
    <w:rsid w:val="006975D9"/>
    <w:rsid w:val="006A040F"/>
    <w:rsid w:val="006A125C"/>
    <w:rsid w:val="006A3BD5"/>
    <w:rsid w:val="006B0793"/>
    <w:rsid w:val="006B0BA4"/>
    <w:rsid w:val="006B0E63"/>
    <w:rsid w:val="006D7A74"/>
    <w:rsid w:val="006E79F7"/>
    <w:rsid w:val="006F6BBE"/>
    <w:rsid w:val="0070034D"/>
    <w:rsid w:val="00712D63"/>
    <w:rsid w:val="007163B6"/>
    <w:rsid w:val="00716910"/>
    <w:rsid w:val="00716E90"/>
    <w:rsid w:val="007275A0"/>
    <w:rsid w:val="0074233A"/>
    <w:rsid w:val="007442AE"/>
    <w:rsid w:val="0074455B"/>
    <w:rsid w:val="00753352"/>
    <w:rsid w:val="00770775"/>
    <w:rsid w:val="0077734C"/>
    <w:rsid w:val="00785528"/>
    <w:rsid w:val="00787CD3"/>
    <w:rsid w:val="00796AED"/>
    <w:rsid w:val="00796AFA"/>
    <w:rsid w:val="007B14DD"/>
    <w:rsid w:val="007B17E2"/>
    <w:rsid w:val="007B6991"/>
    <w:rsid w:val="007B6F3F"/>
    <w:rsid w:val="007C0CC8"/>
    <w:rsid w:val="007C26BF"/>
    <w:rsid w:val="007D3BE8"/>
    <w:rsid w:val="007E35D5"/>
    <w:rsid w:val="007E40FA"/>
    <w:rsid w:val="007F0560"/>
    <w:rsid w:val="007F3854"/>
    <w:rsid w:val="00801893"/>
    <w:rsid w:val="00801E35"/>
    <w:rsid w:val="00803037"/>
    <w:rsid w:val="00803880"/>
    <w:rsid w:val="00803A51"/>
    <w:rsid w:val="00803CF4"/>
    <w:rsid w:val="00807AAC"/>
    <w:rsid w:val="00810DB8"/>
    <w:rsid w:val="00815D07"/>
    <w:rsid w:val="00831FC3"/>
    <w:rsid w:val="0086398C"/>
    <w:rsid w:val="0087062A"/>
    <w:rsid w:val="00872057"/>
    <w:rsid w:val="00876466"/>
    <w:rsid w:val="008833B7"/>
    <w:rsid w:val="008907C6"/>
    <w:rsid w:val="008A186F"/>
    <w:rsid w:val="008E7ED2"/>
    <w:rsid w:val="008F2899"/>
    <w:rsid w:val="008F7E02"/>
    <w:rsid w:val="0090301D"/>
    <w:rsid w:val="00910643"/>
    <w:rsid w:val="00912048"/>
    <w:rsid w:val="00933B35"/>
    <w:rsid w:val="00955BAB"/>
    <w:rsid w:val="009619F8"/>
    <w:rsid w:val="009640DA"/>
    <w:rsid w:val="00964121"/>
    <w:rsid w:val="009677E4"/>
    <w:rsid w:val="0097171E"/>
    <w:rsid w:val="009724BA"/>
    <w:rsid w:val="00974472"/>
    <w:rsid w:val="009748AD"/>
    <w:rsid w:val="00976E39"/>
    <w:rsid w:val="00980147"/>
    <w:rsid w:val="00980D78"/>
    <w:rsid w:val="00985430"/>
    <w:rsid w:val="00990F17"/>
    <w:rsid w:val="00996C16"/>
    <w:rsid w:val="009A13A1"/>
    <w:rsid w:val="009D2E8B"/>
    <w:rsid w:val="009D3085"/>
    <w:rsid w:val="009E154B"/>
    <w:rsid w:val="009E296F"/>
    <w:rsid w:val="009E30BC"/>
    <w:rsid w:val="009F3ABD"/>
    <w:rsid w:val="009F6562"/>
    <w:rsid w:val="00A00947"/>
    <w:rsid w:val="00A202EF"/>
    <w:rsid w:val="00A35C2E"/>
    <w:rsid w:val="00A379BC"/>
    <w:rsid w:val="00A5544E"/>
    <w:rsid w:val="00A62ABC"/>
    <w:rsid w:val="00A83BC7"/>
    <w:rsid w:val="00A83F17"/>
    <w:rsid w:val="00A840B1"/>
    <w:rsid w:val="00AB0B31"/>
    <w:rsid w:val="00AC1CCE"/>
    <w:rsid w:val="00AC3BF4"/>
    <w:rsid w:val="00AD6C70"/>
    <w:rsid w:val="00AE6B72"/>
    <w:rsid w:val="00AF2B42"/>
    <w:rsid w:val="00AF5966"/>
    <w:rsid w:val="00B009F0"/>
    <w:rsid w:val="00B00DF1"/>
    <w:rsid w:val="00B06B91"/>
    <w:rsid w:val="00B22D9E"/>
    <w:rsid w:val="00B25CB7"/>
    <w:rsid w:val="00B34E0E"/>
    <w:rsid w:val="00B35A92"/>
    <w:rsid w:val="00B45987"/>
    <w:rsid w:val="00B54798"/>
    <w:rsid w:val="00B56066"/>
    <w:rsid w:val="00B61054"/>
    <w:rsid w:val="00B65C09"/>
    <w:rsid w:val="00B8186E"/>
    <w:rsid w:val="00B91C3C"/>
    <w:rsid w:val="00B92A69"/>
    <w:rsid w:val="00B93920"/>
    <w:rsid w:val="00BA6488"/>
    <w:rsid w:val="00BC43B2"/>
    <w:rsid w:val="00BC680E"/>
    <w:rsid w:val="00BD04DF"/>
    <w:rsid w:val="00BD4EF3"/>
    <w:rsid w:val="00BD50A2"/>
    <w:rsid w:val="00BE067D"/>
    <w:rsid w:val="00BE1405"/>
    <w:rsid w:val="00BF056B"/>
    <w:rsid w:val="00BF4927"/>
    <w:rsid w:val="00BF62F2"/>
    <w:rsid w:val="00C0404E"/>
    <w:rsid w:val="00C12787"/>
    <w:rsid w:val="00C14320"/>
    <w:rsid w:val="00C21378"/>
    <w:rsid w:val="00C26629"/>
    <w:rsid w:val="00C5393D"/>
    <w:rsid w:val="00C75F50"/>
    <w:rsid w:val="00C76CB8"/>
    <w:rsid w:val="00C8275D"/>
    <w:rsid w:val="00C86D70"/>
    <w:rsid w:val="00C957C7"/>
    <w:rsid w:val="00CC7947"/>
    <w:rsid w:val="00CE4005"/>
    <w:rsid w:val="00D04C9A"/>
    <w:rsid w:val="00D178C2"/>
    <w:rsid w:val="00D2014B"/>
    <w:rsid w:val="00D234F3"/>
    <w:rsid w:val="00D372EA"/>
    <w:rsid w:val="00D55ADC"/>
    <w:rsid w:val="00D566C1"/>
    <w:rsid w:val="00D63122"/>
    <w:rsid w:val="00D652F5"/>
    <w:rsid w:val="00D96BFB"/>
    <w:rsid w:val="00DA2034"/>
    <w:rsid w:val="00DA459D"/>
    <w:rsid w:val="00DB4844"/>
    <w:rsid w:val="00DC6570"/>
    <w:rsid w:val="00DD758E"/>
    <w:rsid w:val="00DF5DE3"/>
    <w:rsid w:val="00E06F00"/>
    <w:rsid w:val="00E212EF"/>
    <w:rsid w:val="00E26DE4"/>
    <w:rsid w:val="00E330A4"/>
    <w:rsid w:val="00E34021"/>
    <w:rsid w:val="00E34F2B"/>
    <w:rsid w:val="00E429F0"/>
    <w:rsid w:val="00E42C4C"/>
    <w:rsid w:val="00E530AE"/>
    <w:rsid w:val="00E54D85"/>
    <w:rsid w:val="00E63838"/>
    <w:rsid w:val="00E64C43"/>
    <w:rsid w:val="00E64CE6"/>
    <w:rsid w:val="00E64FE0"/>
    <w:rsid w:val="00E7248A"/>
    <w:rsid w:val="00E72801"/>
    <w:rsid w:val="00E73953"/>
    <w:rsid w:val="00E825C4"/>
    <w:rsid w:val="00EA3C29"/>
    <w:rsid w:val="00EB225B"/>
    <w:rsid w:val="00EB4713"/>
    <w:rsid w:val="00ED2A1E"/>
    <w:rsid w:val="00EE08B3"/>
    <w:rsid w:val="00EE38E7"/>
    <w:rsid w:val="00EF1409"/>
    <w:rsid w:val="00EF4C01"/>
    <w:rsid w:val="00EF5077"/>
    <w:rsid w:val="00EF7FED"/>
    <w:rsid w:val="00F03D5A"/>
    <w:rsid w:val="00F131F9"/>
    <w:rsid w:val="00F135CF"/>
    <w:rsid w:val="00F137C4"/>
    <w:rsid w:val="00F36283"/>
    <w:rsid w:val="00F55541"/>
    <w:rsid w:val="00F57115"/>
    <w:rsid w:val="00F67D13"/>
    <w:rsid w:val="00F736B2"/>
    <w:rsid w:val="00F749F3"/>
    <w:rsid w:val="00F81022"/>
    <w:rsid w:val="00FB5225"/>
    <w:rsid w:val="00FB75F9"/>
    <w:rsid w:val="00FC1CA6"/>
    <w:rsid w:val="00FC5CDC"/>
    <w:rsid w:val="00FC6428"/>
    <w:rsid w:val="00FE4028"/>
    <w:rsid w:val="00FE7D08"/>
    <w:rsid w:val="00FF7709"/>
    <w:rsid w:val="00FF79F5"/>
    <w:rsid w:val="00FF7F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59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91C3C"/>
  </w:style>
  <w:style w:type="character" w:styleId="Hyperlink">
    <w:name w:val="Hyperlink"/>
    <w:basedOn w:val="DefaultParagraphFont"/>
    <w:uiPriority w:val="99"/>
    <w:unhideWhenUsed/>
    <w:rsid w:val="00B91C3C"/>
    <w:rPr>
      <w:color w:val="0000FF"/>
      <w:u w:val="single"/>
    </w:rPr>
  </w:style>
  <w:style w:type="paragraph" w:customStyle="1" w:styleId="Default">
    <w:name w:val="Default"/>
    <w:rsid w:val="00B91C3C"/>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606B83"/>
    <w:pPr>
      <w:ind w:left="720"/>
      <w:contextualSpacing/>
    </w:pPr>
  </w:style>
  <w:style w:type="character" w:styleId="Strong">
    <w:name w:val="Strong"/>
    <w:basedOn w:val="DefaultParagraphFont"/>
    <w:uiPriority w:val="22"/>
    <w:qFormat/>
    <w:rsid w:val="00BC43B2"/>
    <w:rPr>
      <w:b/>
      <w:bCs/>
    </w:rPr>
  </w:style>
  <w:style w:type="paragraph" w:styleId="NormalWeb">
    <w:name w:val="Normal (Web)"/>
    <w:basedOn w:val="Normal"/>
    <w:uiPriority w:val="99"/>
    <w:unhideWhenUsed/>
    <w:rsid w:val="00042D31"/>
    <w:pPr>
      <w:spacing w:before="100" w:beforeAutospacing="1" w:after="100" w:afterAutospacing="1" w:line="240" w:lineRule="auto"/>
    </w:pPr>
    <w:rPr>
      <w:rFonts w:ascii="Times New Roman" w:eastAsiaTheme="minorEastAsia" w:hAnsi="Times New Roman"/>
      <w:sz w:val="24"/>
      <w:szCs w:val="24"/>
      <w:lang w:eastAsia="en-CA"/>
    </w:rPr>
  </w:style>
  <w:style w:type="paragraph" w:styleId="Header">
    <w:name w:val="header"/>
    <w:basedOn w:val="Normal"/>
    <w:link w:val="HeaderChar"/>
    <w:uiPriority w:val="99"/>
    <w:unhideWhenUsed/>
    <w:rsid w:val="0006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68F2"/>
    <w:rPr>
      <w:rFonts w:ascii="Calibri" w:eastAsia="Calibri" w:hAnsi="Calibri" w:cs="Times New Roman"/>
    </w:rPr>
  </w:style>
  <w:style w:type="paragraph" w:styleId="Footer">
    <w:name w:val="footer"/>
    <w:basedOn w:val="Normal"/>
    <w:link w:val="FooterChar"/>
    <w:uiPriority w:val="99"/>
    <w:unhideWhenUsed/>
    <w:rsid w:val="000668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68F2"/>
    <w:rPr>
      <w:rFonts w:ascii="Calibri" w:eastAsia="Calibri" w:hAnsi="Calibri" w:cs="Times New Roman"/>
    </w:rPr>
  </w:style>
  <w:style w:type="paragraph" w:styleId="BalloonText">
    <w:name w:val="Balloon Text"/>
    <w:basedOn w:val="Normal"/>
    <w:link w:val="BalloonTextChar"/>
    <w:uiPriority w:val="99"/>
    <w:semiHidden/>
    <w:unhideWhenUsed/>
    <w:rsid w:val="00052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FD7"/>
    <w:rPr>
      <w:rFonts w:ascii="Tahoma" w:eastAsia="Calibri" w:hAnsi="Tahoma" w:cs="Tahoma"/>
      <w:sz w:val="16"/>
      <w:szCs w:val="16"/>
    </w:rPr>
  </w:style>
  <w:style w:type="character" w:styleId="CommentReference">
    <w:name w:val="annotation reference"/>
    <w:basedOn w:val="DefaultParagraphFont"/>
    <w:uiPriority w:val="99"/>
    <w:semiHidden/>
    <w:unhideWhenUsed/>
    <w:rsid w:val="00052FD7"/>
    <w:rPr>
      <w:sz w:val="16"/>
      <w:szCs w:val="16"/>
    </w:rPr>
  </w:style>
  <w:style w:type="paragraph" w:styleId="CommentText">
    <w:name w:val="annotation text"/>
    <w:basedOn w:val="Normal"/>
    <w:link w:val="CommentTextChar"/>
    <w:uiPriority w:val="99"/>
    <w:semiHidden/>
    <w:unhideWhenUsed/>
    <w:rsid w:val="00052FD7"/>
    <w:pPr>
      <w:spacing w:line="240" w:lineRule="auto"/>
    </w:pPr>
    <w:rPr>
      <w:sz w:val="20"/>
      <w:szCs w:val="20"/>
    </w:rPr>
  </w:style>
  <w:style w:type="character" w:customStyle="1" w:styleId="CommentTextChar">
    <w:name w:val="Comment Text Char"/>
    <w:basedOn w:val="DefaultParagraphFont"/>
    <w:link w:val="CommentText"/>
    <w:uiPriority w:val="99"/>
    <w:semiHidden/>
    <w:rsid w:val="00052FD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52FD7"/>
    <w:rPr>
      <w:b/>
      <w:bCs/>
    </w:rPr>
  </w:style>
  <w:style w:type="character" w:customStyle="1" w:styleId="CommentSubjectChar">
    <w:name w:val="Comment Subject Char"/>
    <w:basedOn w:val="CommentTextChar"/>
    <w:link w:val="CommentSubject"/>
    <w:uiPriority w:val="99"/>
    <w:semiHidden/>
    <w:rsid w:val="00052FD7"/>
    <w:rPr>
      <w:rFonts w:ascii="Calibri" w:eastAsia="Calibri" w:hAnsi="Calibri" w:cs="Times New Roman"/>
      <w:b/>
      <w:bCs/>
      <w:sz w:val="20"/>
      <w:szCs w:val="20"/>
    </w:rPr>
  </w:style>
  <w:style w:type="paragraph" w:styleId="Revision">
    <w:name w:val="Revision"/>
    <w:hidden/>
    <w:uiPriority w:val="99"/>
    <w:semiHidden/>
    <w:rsid w:val="00D566C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59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91C3C"/>
  </w:style>
  <w:style w:type="character" w:styleId="Hyperlink">
    <w:name w:val="Hyperlink"/>
    <w:basedOn w:val="DefaultParagraphFont"/>
    <w:uiPriority w:val="99"/>
    <w:unhideWhenUsed/>
    <w:rsid w:val="00B91C3C"/>
    <w:rPr>
      <w:color w:val="0000FF"/>
      <w:u w:val="single"/>
    </w:rPr>
  </w:style>
  <w:style w:type="paragraph" w:customStyle="1" w:styleId="Default">
    <w:name w:val="Default"/>
    <w:rsid w:val="00B91C3C"/>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606B83"/>
    <w:pPr>
      <w:ind w:left="720"/>
      <w:contextualSpacing/>
    </w:pPr>
  </w:style>
  <w:style w:type="character" w:styleId="Strong">
    <w:name w:val="Strong"/>
    <w:basedOn w:val="DefaultParagraphFont"/>
    <w:uiPriority w:val="22"/>
    <w:qFormat/>
    <w:rsid w:val="00BC43B2"/>
    <w:rPr>
      <w:b/>
      <w:bCs/>
    </w:rPr>
  </w:style>
  <w:style w:type="paragraph" w:styleId="NormalWeb">
    <w:name w:val="Normal (Web)"/>
    <w:basedOn w:val="Normal"/>
    <w:uiPriority w:val="99"/>
    <w:unhideWhenUsed/>
    <w:rsid w:val="00042D31"/>
    <w:pPr>
      <w:spacing w:before="100" w:beforeAutospacing="1" w:after="100" w:afterAutospacing="1" w:line="240" w:lineRule="auto"/>
    </w:pPr>
    <w:rPr>
      <w:rFonts w:ascii="Times New Roman" w:eastAsiaTheme="minorEastAsia" w:hAnsi="Times New Roman"/>
      <w:sz w:val="24"/>
      <w:szCs w:val="24"/>
      <w:lang w:eastAsia="en-CA"/>
    </w:rPr>
  </w:style>
  <w:style w:type="paragraph" w:styleId="Header">
    <w:name w:val="header"/>
    <w:basedOn w:val="Normal"/>
    <w:link w:val="HeaderChar"/>
    <w:uiPriority w:val="99"/>
    <w:unhideWhenUsed/>
    <w:rsid w:val="0006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68F2"/>
    <w:rPr>
      <w:rFonts w:ascii="Calibri" w:eastAsia="Calibri" w:hAnsi="Calibri" w:cs="Times New Roman"/>
    </w:rPr>
  </w:style>
  <w:style w:type="paragraph" w:styleId="Footer">
    <w:name w:val="footer"/>
    <w:basedOn w:val="Normal"/>
    <w:link w:val="FooterChar"/>
    <w:uiPriority w:val="99"/>
    <w:unhideWhenUsed/>
    <w:rsid w:val="000668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68F2"/>
    <w:rPr>
      <w:rFonts w:ascii="Calibri" w:eastAsia="Calibri" w:hAnsi="Calibri" w:cs="Times New Roman"/>
    </w:rPr>
  </w:style>
  <w:style w:type="paragraph" w:styleId="BalloonText">
    <w:name w:val="Balloon Text"/>
    <w:basedOn w:val="Normal"/>
    <w:link w:val="BalloonTextChar"/>
    <w:uiPriority w:val="99"/>
    <w:semiHidden/>
    <w:unhideWhenUsed/>
    <w:rsid w:val="00052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FD7"/>
    <w:rPr>
      <w:rFonts w:ascii="Tahoma" w:eastAsia="Calibri" w:hAnsi="Tahoma" w:cs="Tahoma"/>
      <w:sz w:val="16"/>
      <w:szCs w:val="16"/>
    </w:rPr>
  </w:style>
  <w:style w:type="character" w:styleId="CommentReference">
    <w:name w:val="annotation reference"/>
    <w:basedOn w:val="DefaultParagraphFont"/>
    <w:uiPriority w:val="99"/>
    <w:semiHidden/>
    <w:unhideWhenUsed/>
    <w:rsid w:val="00052FD7"/>
    <w:rPr>
      <w:sz w:val="16"/>
      <w:szCs w:val="16"/>
    </w:rPr>
  </w:style>
  <w:style w:type="paragraph" w:styleId="CommentText">
    <w:name w:val="annotation text"/>
    <w:basedOn w:val="Normal"/>
    <w:link w:val="CommentTextChar"/>
    <w:uiPriority w:val="99"/>
    <w:semiHidden/>
    <w:unhideWhenUsed/>
    <w:rsid w:val="00052FD7"/>
    <w:pPr>
      <w:spacing w:line="240" w:lineRule="auto"/>
    </w:pPr>
    <w:rPr>
      <w:sz w:val="20"/>
      <w:szCs w:val="20"/>
    </w:rPr>
  </w:style>
  <w:style w:type="character" w:customStyle="1" w:styleId="CommentTextChar">
    <w:name w:val="Comment Text Char"/>
    <w:basedOn w:val="DefaultParagraphFont"/>
    <w:link w:val="CommentText"/>
    <w:uiPriority w:val="99"/>
    <w:semiHidden/>
    <w:rsid w:val="00052FD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52FD7"/>
    <w:rPr>
      <w:b/>
      <w:bCs/>
    </w:rPr>
  </w:style>
  <w:style w:type="character" w:customStyle="1" w:styleId="CommentSubjectChar">
    <w:name w:val="Comment Subject Char"/>
    <w:basedOn w:val="CommentTextChar"/>
    <w:link w:val="CommentSubject"/>
    <w:uiPriority w:val="99"/>
    <w:semiHidden/>
    <w:rsid w:val="00052FD7"/>
    <w:rPr>
      <w:rFonts w:ascii="Calibri" w:eastAsia="Calibri" w:hAnsi="Calibri" w:cs="Times New Roman"/>
      <w:b/>
      <w:bCs/>
      <w:sz w:val="20"/>
      <w:szCs w:val="20"/>
    </w:rPr>
  </w:style>
  <w:style w:type="paragraph" w:styleId="Revision">
    <w:name w:val="Revision"/>
    <w:hidden/>
    <w:uiPriority w:val="99"/>
    <w:semiHidden/>
    <w:rsid w:val="00D566C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394263">
      <w:bodyDiv w:val="1"/>
      <w:marLeft w:val="0"/>
      <w:marRight w:val="0"/>
      <w:marTop w:val="0"/>
      <w:marBottom w:val="0"/>
      <w:divBdr>
        <w:top w:val="none" w:sz="0" w:space="0" w:color="auto"/>
        <w:left w:val="none" w:sz="0" w:space="0" w:color="auto"/>
        <w:bottom w:val="none" w:sz="0" w:space="0" w:color="auto"/>
        <w:right w:val="none" w:sz="0" w:space="0" w:color="auto"/>
      </w:divBdr>
      <w:divsChild>
        <w:div w:id="630982457">
          <w:marLeft w:val="0"/>
          <w:marRight w:val="0"/>
          <w:marTop w:val="0"/>
          <w:marBottom w:val="0"/>
          <w:divBdr>
            <w:top w:val="none" w:sz="0" w:space="0" w:color="auto"/>
            <w:left w:val="none" w:sz="0" w:space="0" w:color="auto"/>
            <w:bottom w:val="none" w:sz="0" w:space="0" w:color="auto"/>
            <w:right w:val="none" w:sz="0" w:space="0" w:color="auto"/>
          </w:divBdr>
          <w:divsChild>
            <w:div w:id="1409881502">
              <w:marLeft w:val="0"/>
              <w:marRight w:val="0"/>
              <w:marTop w:val="0"/>
              <w:marBottom w:val="0"/>
              <w:divBdr>
                <w:top w:val="none" w:sz="0" w:space="0" w:color="auto"/>
                <w:left w:val="none" w:sz="0" w:space="0" w:color="auto"/>
                <w:bottom w:val="none" w:sz="0" w:space="0" w:color="auto"/>
                <w:right w:val="none" w:sz="0" w:space="0" w:color="auto"/>
              </w:divBdr>
              <w:divsChild>
                <w:div w:id="1993485756">
                  <w:marLeft w:val="0"/>
                  <w:marRight w:val="0"/>
                  <w:marTop w:val="0"/>
                  <w:marBottom w:val="0"/>
                  <w:divBdr>
                    <w:top w:val="none" w:sz="0" w:space="0" w:color="auto"/>
                    <w:left w:val="none" w:sz="0" w:space="0" w:color="auto"/>
                    <w:bottom w:val="none" w:sz="0" w:space="0" w:color="auto"/>
                    <w:right w:val="none" w:sz="0" w:space="0" w:color="auto"/>
                  </w:divBdr>
                  <w:divsChild>
                    <w:div w:id="2115858285">
                      <w:marLeft w:val="0"/>
                      <w:marRight w:val="0"/>
                      <w:marTop w:val="0"/>
                      <w:marBottom w:val="0"/>
                      <w:divBdr>
                        <w:top w:val="none" w:sz="0" w:space="0" w:color="auto"/>
                        <w:left w:val="none" w:sz="0" w:space="0" w:color="auto"/>
                        <w:bottom w:val="none" w:sz="0" w:space="0" w:color="auto"/>
                        <w:right w:val="none" w:sz="0" w:space="0" w:color="auto"/>
                      </w:divBdr>
                      <w:divsChild>
                        <w:div w:id="1272709124">
                          <w:marLeft w:val="0"/>
                          <w:marRight w:val="0"/>
                          <w:marTop w:val="0"/>
                          <w:marBottom w:val="0"/>
                          <w:divBdr>
                            <w:top w:val="none" w:sz="0" w:space="0" w:color="auto"/>
                            <w:left w:val="none" w:sz="0" w:space="0" w:color="auto"/>
                            <w:bottom w:val="none" w:sz="0" w:space="0" w:color="auto"/>
                            <w:right w:val="none" w:sz="0" w:space="0" w:color="auto"/>
                          </w:divBdr>
                          <w:divsChild>
                            <w:div w:id="260383974">
                              <w:marLeft w:val="0"/>
                              <w:marRight w:val="0"/>
                              <w:marTop w:val="0"/>
                              <w:marBottom w:val="0"/>
                              <w:divBdr>
                                <w:top w:val="none" w:sz="0" w:space="0" w:color="auto"/>
                                <w:left w:val="none" w:sz="0" w:space="0" w:color="auto"/>
                                <w:bottom w:val="none" w:sz="0" w:space="0" w:color="auto"/>
                                <w:right w:val="none" w:sz="0" w:space="0" w:color="auto"/>
                              </w:divBdr>
                              <w:divsChild>
                                <w:div w:id="1827434890">
                                  <w:marLeft w:val="0"/>
                                  <w:marRight w:val="0"/>
                                  <w:marTop w:val="0"/>
                                  <w:marBottom w:val="0"/>
                                  <w:divBdr>
                                    <w:top w:val="none" w:sz="0" w:space="0" w:color="auto"/>
                                    <w:left w:val="none" w:sz="0" w:space="0" w:color="auto"/>
                                    <w:bottom w:val="none" w:sz="0" w:space="0" w:color="auto"/>
                                    <w:right w:val="none" w:sz="0" w:space="0" w:color="auto"/>
                                  </w:divBdr>
                                  <w:divsChild>
                                    <w:div w:id="2022972228">
                                      <w:marLeft w:val="0"/>
                                      <w:marRight w:val="0"/>
                                      <w:marTop w:val="0"/>
                                      <w:marBottom w:val="0"/>
                                      <w:divBdr>
                                        <w:top w:val="none" w:sz="0" w:space="0" w:color="auto"/>
                                        <w:left w:val="none" w:sz="0" w:space="0" w:color="auto"/>
                                        <w:bottom w:val="none" w:sz="0" w:space="0" w:color="auto"/>
                                        <w:right w:val="none" w:sz="0" w:space="0" w:color="auto"/>
                                      </w:divBdr>
                                      <w:divsChild>
                                        <w:div w:id="166332313">
                                          <w:marLeft w:val="0"/>
                                          <w:marRight w:val="0"/>
                                          <w:marTop w:val="0"/>
                                          <w:marBottom w:val="0"/>
                                          <w:divBdr>
                                            <w:top w:val="none" w:sz="0" w:space="0" w:color="auto"/>
                                            <w:left w:val="none" w:sz="0" w:space="0" w:color="auto"/>
                                            <w:bottom w:val="none" w:sz="0" w:space="0" w:color="auto"/>
                                            <w:right w:val="none" w:sz="0" w:space="0" w:color="auto"/>
                                          </w:divBdr>
                                          <w:divsChild>
                                            <w:div w:id="2438148">
                                              <w:marLeft w:val="0"/>
                                              <w:marRight w:val="0"/>
                                              <w:marTop w:val="0"/>
                                              <w:marBottom w:val="0"/>
                                              <w:divBdr>
                                                <w:top w:val="none" w:sz="0" w:space="0" w:color="auto"/>
                                                <w:left w:val="none" w:sz="0" w:space="0" w:color="auto"/>
                                                <w:bottom w:val="none" w:sz="0" w:space="0" w:color="auto"/>
                                                <w:right w:val="none" w:sz="0" w:space="0" w:color="auto"/>
                                              </w:divBdr>
                                              <w:divsChild>
                                                <w:div w:id="1891845650">
                                                  <w:marLeft w:val="0"/>
                                                  <w:marRight w:val="0"/>
                                                  <w:marTop w:val="0"/>
                                                  <w:marBottom w:val="0"/>
                                                  <w:divBdr>
                                                    <w:top w:val="none" w:sz="0" w:space="0" w:color="auto"/>
                                                    <w:left w:val="none" w:sz="0" w:space="0" w:color="auto"/>
                                                    <w:bottom w:val="none" w:sz="0" w:space="0" w:color="auto"/>
                                                    <w:right w:val="none" w:sz="0" w:space="0" w:color="auto"/>
                                                  </w:divBdr>
                                                  <w:divsChild>
                                                    <w:div w:id="925042439">
                                                      <w:marLeft w:val="0"/>
                                                      <w:marRight w:val="0"/>
                                                      <w:marTop w:val="0"/>
                                                      <w:marBottom w:val="0"/>
                                                      <w:divBdr>
                                                        <w:top w:val="none" w:sz="0" w:space="0" w:color="auto"/>
                                                        <w:left w:val="none" w:sz="0" w:space="0" w:color="auto"/>
                                                        <w:bottom w:val="none" w:sz="0" w:space="0" w:color="auto"/>
                                                        <w:right w:val="none" w:sz="0" w:space="0" w:color="auto"/>
                                                      </w:divBdr>
                                                      <w:divsChild>
                                                        <w:div w:id="1013265546">
                                                          <w:marLeft w:val="0"/>
                                                          <w:marRight w:val="0"/>
                                                          <w:marTop w:val="0"/>
                                                          <w:marBottom w:val="0"/>
                                                          <w:divBdr>
                                                            <w:top w:val="none" w:sz="0" w:space="0" w:color="auto"/>
                                                            <w:left w:val="none" w:sz="0" w:space="0" w:color="auto"/>
                                                            <w:bottom w:val="none" w:sz="0" w:space="0" w:color="auto"/>
                                                            <w:right w:val="none" w:sz="0" w:space="0" w:color="auto"/>
                                                          </w:divBdr>
                                                          <w:divsChild>
                                                            <w:div w:id="468787330">
                                                              <w:marLeft w:val="0"/>
                                                              <w:marRight w:val="0"/>
                                                              <w:marTop w:val="0"/>
                                                              <w:marBottom w:val="0"/>
                                                              <w:divBdr>
                                                                <w:top w:val="none" w:sz="0" w:space="0" w:color="auto"/>
                                                                <w:left w:val="none" w:sz="0" w:space="0" w:color="auto"/>
                                                                <w:bottom w:val="none" w:sz="0" w:space="0" w:color="auto"/>
                                                                <w:right w:val="none" w:sz="0" w:space="0" w:color="auto"/>
                                                              </w:divBdr>
                                                              <w:divsChild>
                                                                <w:div w:id="54477114">
                                                                  <w:marLeft w:val="0"/>
                                                                  <w:marRight w:val="0"/>
                                                                  <w:marTop w:val="0"/>
                                                                  <w:marBottom w:val="0"/>
                                                                  <w:divBdr>
                                                                    <w:top w:val="none" w:sz="0" w:space="0" w:color="auto"/>
                                                                    <w:left w:val="none" w:sz="0" w:space="0" w:color="auto"/>
                                                                    <w:bottom w:val="none" w:sz="0" w:space="0" w:color="auto"/>
                                                                    <w:right w:val="none" w:sz="0" w:space="0" w:color="auto"/>
                                                                  </w:divBdr>
                                                                  <w:divsChild>
                                                                    <w:div w:id="1812012728">
                                                                      <w:marLeft w:val="0"/>
                                                                      <w:marRight w:val="0"/>
                                                                      <w:marTop w:val="0"/>
                                                                      <w:marBottom w:val="0"/>
                                                                      <w:divBdr>
                                                                        <w:top w:val="none" w:sz="0" w:space="0" w:color="auto"/>
                                                                        <w:left w:val="none" w:sz="0" w:space="0" w:color="auto"/>
                                                                        <w:bottom w:val="none" w:sz="0" w:space="0" w:color="auto"/>
                                                                        <w:right w:val="none" w:sz="0" w:space="0" w:color="auto"/>
                                                                      </w:divBdr>
                                                                      <w:divsChild>
                                                                        <w:div w:id="1168520461">
                                                                          <w:marLeft w:val="0"/>
                                                                          <w:marRight w:val="0"/>
                                                                          <w:marTop w:val="0"/>
                                                                          <w:marBottom w:val="0"/>
                                                                          <w:divBdr>
                                                                            <w:top w:val="none" w:sz="0" w:space="0" w:color="auto"/>
                                                                            <w:left w:val="none" w:sz="0" w:space="0" w:color="auto"/>
                                                                            <w:bottom w:val="none" w:sz="0" w:space="0" w:color="auto"/>
                                                                            <w:right w:val="none" w:sz="0" w:space="0" w:color="auto"/>
                                                                          </w:divBdr>
                                                                          <w:divsChild>
                                                                            <w:div w:id="542136920">
                                                                              <w:marLeft w:val="0"/>
                                                                              <w:marRight w:val="0"/>
                                                                              <w:marTop w:val="0"/>
                                                                              <w:marBottom w:val="0"/>
                                                                              <w:divBdr>
                                                                                <w:top w:val="none" w:sz="0" w:space="0" w:color="auto"/>
                                                                                <w:left w:val="none" w:sz="0" w:space="0" w:color="auto"/>
                                                                                <w:bottom w:val="none" w:sz="0" w:space="0" w:color="auto"/>
                                                                                <w:right w:val="none" w:sz="0" w:space="0" w:color="auto"/>
                                                                              </w:divBdr>
                                                                              <w:divsChild>
                                                                                <w:div w:id="180509589">
                                                                                  <w:marLeft w:val="0"/>
                                                                                  <w:marRight w:val="0"/>
                                                                                  <w:marTop w:val="0"/>
                                                                                  <w:marBottom w:val="0"/>
                                                                                  <w:divBdr>
                                                                                    <w:top w:val="none" w:sz="0" w:space="0" w:color="auto"/>
                                                                                    <w:left w:val="none" w:sz="0" w:space="0" w:color="auto"/>
                                                                                    <w:bottom w:val="none" w:sz="0" w:space="0" w:color="auto"/>
                                                                                    <w:right w:val="none" w:sz="0" w:space="0" w:color="auto"/>
                                                                                  </w:divBdr>
                                                                                  <w:divsChild>
                                                                                    <w:div w:id="14818447">
                                                                                      <w:marLeft w:val="0"/>
                                                                                      <w:marRight w:val="0"/>
                                                                                      <w:marTop w:val="0"/>
                                                                                      <w:marBottom w:val="0"/>
                                                                                      <w:divBdr>
                                                                                        <w:top w:val="none" w:sz="0" w:space="0" w:color="auto"/>
                                                                                        <w:left w:val="none" w:sz="0" w:space="0" w:color="auto"/>
                                                                                        <w:bottom w:val="none" w:sz="0" w:space="0" w:color="auto"/>
                                                                                        <w:right w:val="none" w:sz="0" w:space="0" w:color="auto"/>
                                                                                      </w:divBdr>
                                                                                      <w:divsChild>
                                                                                        <w:div w:id="445850448">
                                                                                          <w:marLeft w:val="0"/>
                                                                                          <w:marRight w:val="0"/>
                                                                                          <w:marTop w:val="0"/>
                                                                                          <w:marBottom w:val="0"/>
                                                                                          <w:divBdr>
                                                                                            <w:top w:val="none" w:sz="0" w:space="0" w:color="auto"/>
                                                                                            <w:left w:val="none" w:sz="0" w:space="0" w:color="auto"/>
                                                                                            <w:bottom w:val="none" w:sz="0" w:space="0" w:color="auto"/>
                                                                                            <w:right w:val="none" w:sz="0" w:space="0" w:color="auto"/>
                                                                                          </w:divBdr>
                                                                                          <w:divsChild>
                                                                                            <w:div w:id="777022695">
                                                                                              <w:marLeft w:val="0"/>
                                                                                              <w:marRight w:val="0"/>
                                                                                              <w:marTop w:val="0"/>
                                                                                              <w:marBottom w:val="0"/>
                                                                                              <w:divBdr>
                                                                                                <w:top w:val="none" w:sz="0" w:space="0" w:color="auto"/>
                                                                                                <w:left w:val="none" w:sz="0" w:space="0" w:color="auto"/>
                                                                                                <w:bottom w:val="none" w:sz="0" w:space="0" w:color="auto"/>
                                                                                                <w:right w:val="none" w:sz="0" w:space="0" w:color="auto"/>
                                                                                              </w:divBdr>
                                                                                              <w:divsChild>
                                                                                                <w:div w:id="776874111">
                                                                                                  <w:marLeft w:val="0"/>
                                                                                                  <w:marRight w:val="0"/>
                                                                                                  <w:marTop w:val="0"/>
                                                                                                  <w:marBottom w:val="0"/>
                                                                                                  <w:divBdr>
                                                                                                    <w:top w:val="none" w:sz="0" w:space="0" w:color="auto"/>
                                                                                                    <w:left w:val="none" w:sz="0" w:space="0" w:color="auto"/>
                                                                                                    <w:bottom w:val="none" w:sz="0" w:space="0" w:color="auto"/>
                                                                                                    <w:right w:val="none" w:sz="0" w:space="0" w:color="auto"/>
                                                                                                  </w:divBdr>
                                                                                                  <w:divsChild>
                                                                                                    <w:div w:id="1400904362">
                                                                                                      <w:marLeft w:val="0"/>
                                                                                                      <w:marRight w:val="0"/>
                                                                                                      <w:marTop w:val="0"/>
                                                                                                      <w:marBottom w:val="0"/>
                                                                                                      <w:divBdr>
                                                                                                        <w:top w:val="none" w:sz="0" w:space="0" w:color="auto"/>
                                                                                                        <w:left w:val="none" w:sz="0" w:space="0" w:color="auto"/>
                                                                                                        <w:bottom w:val="none" w:sz="0" w:space="0" w:color="auto"/>
                                                                                                        <w:right w:val="none" w:sz="0" w:space="0" w:color="auto"/>
                                                                                                      </w:divBdr>
                                                                                                      <w:divsChild>
                                                                                                        <w:div w:id="1860510423">
                                                                                                          <w:marLeft w:val="0"/>
                                                                                                          <w:marRight w:val="0"/>
                                                                                                          <w:marTop w:val="0"/>
                                                                                                          <w:marBottom w:val="0"/>
                                                                                                          <w:divBdr>
                                                                                                            <w:top w:val="none" w:sz="0" w:space="0" w:color="auto"/>
                                                                                                            <w:left w:val="none" w:sz="0" w:space="0" w:color="auto"/>
                                                                                                            <w:bottom w:val="none" w:sz="0" w:space="0" w:color="auto"/>
                                                                                                            <w:right w:val="none" w:sz="0" w:space="0" w:color="auto"/>
                                                                                                          </w:divBdr>
                                                                                                          <w:divsChild>
                                                                                                            <w:div w:id="1047605689">
                                                                                                              <w:marLeft w:val="0"/>
                                                                                                              <w:marRight w:val="0"/>
                                                                                                              <w:marTop w:val="0"/>
                                                                                                              <w:marBottom w:val="0"/>
                                                                                                              <w:divBdr>
                                                                                                                <w:top w:val="none" w:sz="0" w:space="0" w:color="auto"/>
                                                                                                                <w:left w:val="none" w:sz="0" w:space="0" w:color="auto"/>
                                                                                                                <w:bottom w:val="none" w:sz="0" w:space="0" w:color="auto"/>
                                                                                                                <w:right w:val="none" w:sz="0" w:space="0" w:color="auto"/>
                                                                                                              </w:divBdr>
                                                                                                              <w:divsChild>
                                                                                                                <w:div w:id="166212648">
                                                                                                                  <w:marLeft w:val="0"/>
                                                                                                                  <w:marRight w:val="0"/>
                                                                                                                  <w:marTop w:val="0"/>
                                                                                                                  <w:marBottom w:val="0"/>
                                                                                                                  <w:divBdr>
                                                                                                                    <w:top w:val="none" w:sz="0" w:space="0" w:color="auto"/>
                                                                                                                    <w:left w:val="none" w:sz="0" w:space="0" w:color="auto"/>
                                                                                                                    <w:bottom w:val="none" w:sz="0" w:space="0" w:color="auto"/>
                                                                                                                    <w:right w:val="none" w:sz="0" w:space="0" w:color="auto"/>
                                                                                                                  </w:divBdr>
                                                                                                                  <w:divsChild>
                                                                                                                    <w:div w:id="351610388">
                                                                                                                      <w:marLeft w:val="0"/>
                                                                                                                      <w:marRight w:val="0"/>
                                                                                                                      <w:marTop w:val="0"/>
                                                                                                                      <w:marBottom w:val="0"/>
                                                                                                                      <w:divBdr>
                                                                                                                        <w:top w:val="none" w:sz="0" w:space="0" w:color="auto"/>
                                                                                                                        <w:left w:val="none" w:sz="0" w:space="0" w:color="auto"/>
                                                                                                                        <w:bottom w:val="none" w:sz="0" w:space="0" w:color="auto"/>
                                                                                                                        <w:right w:val="none" w:sz="0" w:space="0" w:color="auto"/>
                                                                                                                      </w:divBdr>
                                                                                                                      <w:divsChild>
                                                                                                                        <w:div w:id="94118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ison.Allan@lhsc.on.c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lison.Allan@lhsc.on.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ke.Keeney@lhsc.on.c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en.Hedley@lhsc.on.ca" TargetMode="External"/><Relationship Id="rId4" Type="http://schemas.microsoft.com/office/2007/relationships/stylesWithEffects" Target="stylesWithEffects.xml"/><Relationship Id="rId9" Type="http://schemas.openxmlformats.org/officeDocument/2006/relationships/hyperlink" Target="mailto:llowes@uwo.c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73CD3-9976-4FC7-AAF7-09CEB5D2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29690</Words>
  <Characters>169236</Characters>
  <Application>Microsoft Office Word</Application>
  <DocSecurity>0</DocSecurity>
  <Lines>1410</Lines>
  <Paragraphs>397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2013-04-17T13:48:00Z</cp:lastPrinted>
  <dcterms:created xsi:type="dcterms:W3CDTF">2013-08-29T19:24:00Z</dcterms:created>
  <dcterms:modified xsi:type="dcterms:W3CDTF">2013-08-29T21:18:00Z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lelowes@sympatico.ca@www.mendeley.com</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(AMA)</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(note with bibliography)</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